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3E4EF" w14:textId="60270FF9" w:rsidR="00E03772" w:rsidRDefault="00E03772" w:rsidP="00E03772">
      <w:pPr>
        <w:pStyle w:val="Heading1"/>
        <w:jc w:val="right"/>
        <w:rPr>
          <w:rFonts w:asciiTheme="minorHAnsi" w:hAnsiTheme="minorHAnsi" w:cstheme="minorHAnsi"/>
          <w:sz w:val="22"/>
          <w:szCs w:val="22"/>
          <w:lang w:eastAsia="en-AU"/>
        </w:rPr>
      </w:pPr>
      <w:r>
        <w:rPr>
          <w:rFonts w:asciiTheme="minorHAnsi" w:hAnsiTheme="minorHAnsi" w:cstheme="minorHAnsi"/>
          <w:noProof/>
          <w:sz w:val="22"/>
          <w:szCs w:val="22"/>
          <w:lang w:val="en-US"/>
        </w:rPr>
        <w:drawing>
          <wp:inline distT="0" distB="0" distL="0" distR="0" wp14:anchorId="461E2AFC" wp14:editId="4745E9CC">
            <wp:extent cx="1934210" cy="738505"/>
            <wp:effectExtent l="0" t="0" r="8890" b="4445"/>
            <wp:docPr id="1" name="Picture 1" descr="Council For International Development -_core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 For International Development -_core - WHITE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4210" cy="738505"/>
                    </a:xfrm>
                    <a:prstGeom prst="rect">
                      <a:avLst/>
                    </a:prstGeom>
                    <a:noFill/>
                    <a:ln>
                      <a:noFill/>
                    </a:ln>
                  </pic:spPr>
                </pic:pic>
              </a:graphicData>
            </a:graphic>
          </wp:inline>
        </w:drawing>
      </w:r>
    </w:p>
    <w:p w14:paraId="29526111" w14:textId="77777777" w:rsidR="00E03772" w:rsidRDefault="00E03772" w:rsidP="00E03772">
      <w:pPr>
        <w:rPr>
          <w:b/>
          <w:sz w:val="24"/>
          <w:szCs w:val="24"/>
          <w:lang w:eastAsia="en-AU"/>
        </w:rPr>
      </w:pPr>
    </w:p>
    <w:p w14:paraId="5862A483" w14:textId="543B9616" w:rsidR="00E03772" w:rsidRPr="00205163" w:rsidRDefault="00E03772" w:rsidP="00E03772">
      <w:pPr>
        <w:rPr>
          <w:rFonts w:cstheme="minorHAnsi"/>
          <w:i/>
          <w:lang w:eastAsia="en-AU"/>
        </w:rPr>
      </w:pPr>
      <w:r w:rsidRPr="00E50CF6">
        <w:rPr>
          <w:rFonts w:cstheme="minorHAnsi"/>
          <w:b/>
          <w:i/>
          <w:highlight w:val="green"/>
          <w:lang w:eastAsia="en-AU"/>
        </w:rPr>
        <w:t>Note:</w:t>
      </w:r>
      <w:r w:rsidRPr="00205163">
        <w:rPr>
          <w:rFonts w:cstheme="minorHAnsi"/>
          <w:i/>
          <w:lang w:eastAsia="en-AU"/>
        </w:rPr>
        <w:t xml:space="preserve"> A Non-Development Activit</w:t>
      </w:r>
      <w:r w:rsidR="00E6412A">
        <w:rPr>
          <w:rFonts w:cstheme="minorHAnsi"/>
          <w:i/>
          <w:lang w:eastAsia="en-AU"/>
        </w:rPr>
        <w:t>y</w:t>
      </w:r>
      <w:r w:rsidRPr="00205163">
        <w:rPr>
          <w:rFonts w:cstheme="minorHAnsi"/>
          <w:i/>
          <w:lang w:eastAsia="en-AU"/>
        </w:rPr>
        <w:t xml:space="preserve"> Policy should be tailored according to </w:t>
      </w:r>
      <w:r w:rsidR="00E3624B">
        <w:rPr>
          <w:rFonts w:cstheme="minorHAnsi"/>
          <w:i/>
          <w:lang w:eastAsia="en-AU"/>
        </w:rPr>
        <w:t xml:space="preserve">the organisation’s </w:t>
      </w:r>
      <w:r w:rsidRPr="00205163">
        <w:rPr>
          <w:rFonts w:cstheme="minorHAnsi"/>
          <w:i/>
          <w:lang w:eastAsia="en-AU"/>
        </w:rPr>
        <w:t>size</w:t>
      </w:r>
      <w:r w:rsidR="00E3624B">
        <w:rPr>
          <w:rFonts w:cstheme="minorHAnsi"/>
          <w:i/>
          <w:lang w:eastAsia="en-AU"/>
        </w:rPr>
        <w:t xml:space="preserve"> and </w:t>
      </w:r>
      <w:bookmarkStart w:id="0" w:name="_GoBack"/>
      <w:bookmarkEnd w:id="0"/>
      <w:r w:rsidRPr="00205163">
        <w:rPr>
          <w:rFonts w:cstheme="minorHAnsi"/>
          <w:i/>
          <w:lang w:eastAsia="en-AU"/>
        </w:rPr>
        <w:t xml:space="preserve">operations. This template can be changed according to organisational context. </w:t>
      </w:r>
      <w:r w:rsidR="00A26D25">
        <w:rPr>
          <w:rFonts w:cstheme="minorHAnsi"/>
          <w:i/>
          <w:lang w:eastAsia="en-AU"/>
        </w:rPr>
        <w:t xml:space="preserve">This template can assist with understanding some of the policy requirements for CID Code of Conduct mandatory obligation </w:t>
      </w:r>
      <w:r w:rsidR="00A26D25">
        <w:rPr>
          <w:rFonts w:cstheme="minorHAnsi"/>
          <w:b/>
          <w:i/>
          <w:lang w:eastAsia="en-AU"/>
        </w:rPr>
        <w:t>B.1.5 Non-development activity</w:t>
      </w:r>
      <w:r w:rsidR="00A26D25">
        <w:rPr>
          <w:rFonts w:cstheme="minorHAnsi"/>
          <w:i/>
          <w:lang w:eastAsia="en-AU"/>
        </w:rPr>
        <w:t>.</w:t>
      </w:r>
    </w:p>
    <w:p w14:paraId="5B4E1F89" w14:textId="77777777" w:rsidR="00E03772" w:rsidRPr="00E03772" w:rsidRDefault="00E03772" w:rsidP="00E03772">
      <w:pPr>
        <w:rPr>
          <w:rFonts w:cstheme="minorHAnsi"/>
          <w:b/>
          <w:lang w:eastAsia="en-AU"/>
        </w:rPr>
      </w:pPr>
      <w:r w:rsidRPr="00E03772">
        <w:rPr>
          <w:rFonts w:cstheme="minorHAnsi"/>
          <w:b/>
          <w:lang w:eastAsia="en-AU"/>
        </w:rPr>
        <w:t>[Organisation]</w:t>
      </w:r>
    </w:p>
    <w:p w14:paraId="5F1CC4D3" w14:textId="647AECB9" w:rsidR="00E03772" w:rsidRPr="00E03772" w:rsidRDefault="00E6412A" w:rsidP="00E03772">
      <w:pPr>
        <w:rPr>
          <w:rFonts w:cstheme="minorHAnsi"/>
          <w:b/>
          <w:color w:val="70AD47" w:themeColor="accent6"/>
          <w:sz w:val="28"/>
          <w:szCs w:val="28"/>
          <w:lang w:eastAsia="en-AU"/>
        </w:rPr>
      </w:pPr>
      <w:r>
        <w:rPr>
          <w:rFonts w:cstheme="minorHAnsi"/>
          <w:b/>
          <w:color w:val="70AD47" w:themeColor="accent6"/>
          <w:sz w:val="28"/>
          <w:szCs w:val="28"/>
          <w:lang w:eastAsia="en-AU"/>
        </w:rPr>
        <w:t>Non-Development Activity</w:t>
      </w:r>
      <w:r w:rsidR="00E03772" w:rsidRPr="00E03772">
        <w:rPr>
          <w:rFonts w:cstheme="minorHAnsi"/>
          <w:b/>
          <w:color w:val="70AD47" w:themeColor="accent6"/>
          <w:sz w:val="28"/>
          <w:szCs w:val="28"/>
          <w:lang w:eastAsia="en-AU"/>
        </w:rPr>
        <w:t xml:space="preserve"> Policy</w:t>
      </w:r>
    </w:p>
    <w:p w14:paraId="3F82D458" w14:textId="77777777" w:rsidR="00E03772" w:rsidRPr="00E03772" w:rsidRDefault="00E03772" w:rsidP="00E03772">
      <w:pPr>
        <w:rPr>
          <w:rFonts w:cstheme="minorHAnsi"/>
          <w:lang w:eastAsia="en-AU"/>
        </w:rPr>
      </w:pPr>
      <w:r w:rsidRPr="00E03772">
        <w:rPr>
          <w:rFonts w:cstheme="minorHAnsi"/>
          <w:lang w:eastAsia="en-AU"/>
        </w:rPr>
        <w:t xml:space="preserve">This policy will be reviewed triennially, and details recorded as below. </w:t>
      </w:r>
    </w:p>
    <w:tbl>
      <w:tblPr>
        <w:tblStyle w:val="TableGrid"/>
        <w:tblW w:w="0" w:type="auto"/>
        <w:tblLook w:val="04A0" w:firstRow="1" w:lastRow="0" w:firstColumn="1" w:lastColumn="0" w:noHBand="0" w:noVBand="1"/>
      </w:tblPr>
      <w:tblGrid>
        <w:gridCol w:w="988"/>
        <w:gridCol w:w="1262"/>
        <w:gridCol w:w="1827"/>
        <w:gridCol w:w="1197"/>
        <w:gridCol w:w="1545"/>
        <w:gridCol w:w="2197"/>
      </w:tblGrid>
      <w:tr w:rsidR="00E03772" w:rsidRPr="00E03772" w14:paraId="0C644387" w14:textId="77777777" w:rsidTr="004F0D65">
        <w:trPr>
          <w:trHeight w:val="441"/>
        </w:trPr>
        <w:tc>
          <w:tcPr>
            <w:tcW w:w="988" w:type="dxa"/>
            <w:shd w:val="clear" w:color="auto" w:fill="F2F2F2" w:themeFill="background1" w:themeFillShade="F2"/>
            <w:vAlign w:val="center"/>
          </w:tcPr>
          <w:p w14:paraId="191909EA" w14:textId="77777777" w:rsidR="00E03772" w:rsidRPr="00E03772" w:rsidRDefault="00E03772" w:rsidP="00E03772">
            <w:pPr>
              <w:rPr>
                <w:rFonts w:asciiTheme="minorHAnsi" w:hAnsiTheme="minorHAnsi" w:cstheme="minorHAnsi"/>
                <w:b/>
                <w:bCs/>
                <w:sz w:val="22"/>
                <w:szCs w:val="22"/>
                <w:lang w:val="en-NZ"/>
              </w:rPr>
            </w:pPr>
            <w:r w:rsidRPr="00E03772">
              <w:rPr>
                <w:rFonts w:asciiTheme="minorHAnsi" w:hAnsiTheme="minorHAnsi" w:cstheme="minorHAnsi"/>
                <w:b/>
                <w:bCs/>
                <w:sz w:val="22"/>
                <w:szCs w:val="22"/>
                <w:lang w:val="en-NZ"/>
              </w:rPr>
              <w:t>Version</w:t>
            </w:r>
          </w:p>
        </w:tc>
        <w:tc>
          <w:tcPr>
            <w:tcW w:w="1262" w:type="dxa"/>
            <w:shd w:val="clear" w:color="auto" w:fill="F2F2F2" w:themeFill="background1" w:themeFillShade="F2"/>
            <w:vAlign w:val="center"/>
          </w:tcPr>
          <w:p w14:paraId="709E1698" w14:textId="77777777" w:rsidR="00E03772" w:rsidRPr="00E03772" w:rsidRDefault="00E03772" w:rsidP="00E03772">
            <w:pPr>
              <w:rPr>
                <w:rFonts w:asciiTheme="minorHAnsi" w:hAnsiTheme="minorHAnsi" w:cstheme="minorHAnsi"/>
                <w:b/>
                <w:bCs/>
                <w:sz w:val="22"/>
                <w:szCs w:val="22"/>
                <w:lang w:val="en-NZ"/>
              </w:rPr>
            </w:pPr>
            <w:r w:rsidRPr="00E03772">
              <w:rPr>
                <w:rFonts w:asciiTheme="minorHAnsi" w:hAnsiTheme="minorHAnsi" w:cstheme="minorHAnsi"/>
                <w:b/>
                <w:bCs/>
                <w:sz w:val="22"/>
                <w:szCs w:val="22"/>
                <w:lang w:val="en-NZ"/>
              </w:rPr>
              <w:t>Date</w:t>
            </w:r>
          </w:p>
        </w:tc>
        <w:tc>
          <w:tcPr>
            <w:tcW w:w="1827" w:type="dxa"/>
            <w:shd w:val="clear" w:color="auto" w:fill="F2F2F2" w:themeFill="background1" w:themeFillShade="F2"/>
            <w:vAlign w:val="center"/>
          </w:tcPr>
          <w:p w14:paraId="7BD5B515" w14:textId="77777777" w:rsidR="00E03772" w:rsidRPr="00E03772" w:rsidRDefault="00E03772" w:rsidP="00E03772">
            <w:pPr>
              <w:rPr>
                <w:rFonts w:asciiTheme="minorHAnsi" w:hAnsiTheme="minorHAnsi" w:cstheme="minorHAnsi"/>
                <w:b/>
                <w:bCs/>
                <w:sz w:val="22"/>
                <w:szCs w:val="22"/>
                <w:lang w:val="en-NZ"/>
              </w:rPr>
            </w:pPr>
            <w:r w:rsidRPr="00E03772">
              <w:rPr>
                <w:rFonts w:asciiTheme="minorHAnsi" w:hAnsiTheme="minorHAnsi" w:cstheme="minorHAnsi"/>
                <w:b/>
                <w:bCs/>
                <w:sz w:val="22"/>
                <w:szCs w:val="22"/>
                <w:lang w:val="en-NZ"/>
              </w:rPr>
              <w:t>Author/s</w:t>
            </w:r>
          </w:p>
        </w:tc>
        <w:tc>
          <w:tcPr>
            <w:tcW w:w="1197" w:type="dxa"/>
            <w:shd w:val="clear" w:color="auto" w:fill="F2F2F2" w:themeFill="background1" w:themeFillShade="F2"/>
            <w:vAlign w:val="center"/>
          </w:tcPr>
          <w:p w14:paraId="5090EE2C" w14:textId="77777777" w:rsidR="00E03772" w:rsidRPr="00E03772" w:rsidRDefault="00E03772" w:rsidP="00E03772">
            <w:pPr>
              <w:rPr>
                <w:rFonts w:asciiTheme="minorHAnsi" w:hAnsiTheme="minorHAnsi" w:cstheme="minorHAnsi"/>
                <w:b/>
                <w:bCs/>
                <w:sz w:val="22"/>
                <w:szCs w:val="22"/>
                <w:lang w:val="en-NZ"/>
              </w:rPr>
            </w:pPr>
            <w:r w:rsidRPr="00E03772">
              <w:rPr>
                <w:rFonts w:asciiTheme="minorHAnsi" w:hAnsiTheme="minorHAnsi" w:cstheme="minorHAnsi"/>
                <w:b/>
                <w:bCs/>
                <w:sz w:val="22"/>
                <w:szCs w:val="22"/>
                <w:lang w:val="en-NZ"/>
              </w:rPr>
              <w:t>Approved by</w:t>
            </w:r>
          </w:p>
        </w:tc>
        <w:tc>
          <w:tcPr>
            <w:tcW w:w="1545" w:type="dxa"/>
            <w:shd w:val="clear" w:color="auto" w:fill="F2F2F2" w:themeFill="background1" w:themeFillShade="F2"/>
            <w:vAlign w:val="center"/>
          </w:tcPr>
          <w:p w14:paraId="630DFE73" w14:textId="77777777" w:rsidR="00E03772" w:rsidRPr="00E03772" w:rsidRDefault="00E03772" w:rsidP="00E03772">
            <w:pPr>
              <w:rPr>
                <w:rFonts w:asciiTheme="minorHAnsi" w:hAnsiTheme="minorHAnsi" w:cstheme="minorHAnsi"/>
                <w:b/>
                <w:bCs/>
                <w:sz w:val="22"/>
                <w:szCs w:val="22"/>
                <w:lang w:val="en-NZ"/>
              </w:rPr>
            </w:pPr>
            <w:r w:rsidRPr="00E03772">
              <w:rPr>
                <w:rFonts w:asciiTheme="minorHAnsi" w:hAnsiTheme="minorHAnsi" w:cstheme="minorHAnsi"/>
                <w:b/>
                <w:bCs/>
                <w:sz w:val="22"/>
                <w:szCs w:val="22"/>
                <w:lang w:val="en-NZ"/>
              </w:rPr>
              <w:t>Review Date</w:t>
            </w:r>
          </w:p>
        </w:tc>
        <w:tc>
          <w:tcPr>
            <w:tcW w:w="2197" w:type="dxa"/>
            <w:shd w:val="clear" w:color="auto" w:fill="F2F2F2" w:themeFill="background1" w:themeFillShade="F2"/>
            <w:vAlign w:val="center"/>
          </w:tcPr>
          <w:p w14:paraId="2AE77445" w14:textId="77777777" w:rsidR="00E03772" w:rsidRPr="00E03772" w:rsidRDefault="00E03772" w:rsidP="00E03772">
            <w:pPr>
              <w:rPr>
                <w:rFonts w:asciiTheme="minorHAnsi" w:hAnsiTheme="minorHAnsi" w:cstheme="minorHAnsi"/>
                <w:b/>
                <w:bCs/>
                <w:sz w:val="22"/>
                <w:szCs w:val="22"/>
                <w:lang w:val="en-NZ"/>
              </w:rPr>
            </w:pPr>
            <w:r w:rsidRPr="00E03772">
              <w:rPr>
                <w:rFonts w:asciiTheme="minorHAnsi" w:hAnsiTheme="minorHAnsi" w:cstheme="minorHAnsi"/>
                <w:b/>
                <w:bCs/>
                <w:sz w:val="22"/>
                <w:szCs w:val="22"/>
                <w:lang w:val="en-NZ"/>
              </w:rPr>
              <w:t>Comments</w:t>
            </w:r>
          </w:p>
        </w:tc>
      </w:tr>
      <w:tr w:rsidR="00E03772" w:rsidRPr="00E03772" w14:paraId="70CDBD97" w14:textId="77777777" w:rsidTr="004F0D65">
        <w:tc>
          <w:tcPr>
            <w:tcW w:w="988" w:type="dxa"/>
          </w:tcPr>
          <w:p w14:paraId="7D7F37F4" w14:textId="77777777" w:rsidR="00E03772" w:rsidRPr="00E03772" w:rsidRDefault="00E03772" w:rsidP="00E03772">
            <w:pPr>
              <w:rPr>
                <w:rFonts w:asciiTheme="minorHAnsi" w:hAnsiTheme="minorHAnsi" w:cstheme="minorHAnsi"/>
                <w:bCs/>
                <w:color w:val="808080" w:themeColor="background1" w:themeShade="80"/>
                <w:sz w:val="22"/>
                <w:szCs w:val="22"/>
                <w:lang w:val="en-NZ"/>
              </w:rPr>
            </w:pPr>
          </w:p>
        </w:tc>
        <w:tc>
          <w:tcPr>
            <w:tcW w:w="1262" w:type="dxa"/>
          </w:tcPr>
          <w:p w14:paraId="14928866" w14:textId="77777777" w:rsidR="00E03772" w:rsidRPr="00E03772" w:rsidRDefault="00E03772" w:rsidP="00E03772">
            <w:pPr>
              <w:rPr>
                <w:rFonts w:asciiTheme="minorHAnsi" w:hAnsiTheme="minorHAnsi" w:cstheme="minorHAnsi"/>
                <w:bCs/>
                <w:color w:val="808080" w:themeColor="background1" w:themeShade="80"/>
                <w:sz w:val="22"/>
                <w:szCs w:val="22"/>
                <w:lang w:val="en-NZ"/>
              </w:rPr>
            </w:pPr>
          </w:p>
        </w:tc>
        <w:tc>
          <w:tcPr>
            <w:tcW w:w="1827" w:type="dxa"/>
          </w:tcPr>
          <w:p w14:paraId="5487752A" w14:textId="77777777" w:rsidR="00E03772" w:rsidRPr="00E03772" w:rsidRDefault="00E03772" w:rsidP="00E03772">
            <w:pPr>
              <w:rPr>
                <w:rFonts w:asciiTheme="minorHAnsi" w:hAnsiTheme="minorHAnsi" w:cstheme="minorHAnsi"/>
                <w:bCs/>
                <w:color w:val="808080" w:themeColor="background1" w:themeShade="80"/>
                <w:sz w:val="22"/>
                <w:szCs w:val="22"/>
                <w:lang w:val="en-NZ"/>
              </w:rPr>
            </w:pPr>
          </w:p>
        </w:tc>
        <w:tc>
          <w:tcPr>
            <w:tcW w:w="1197" w:type="dxa"/>
          </w:tcPr>
          <w:p w14:paraId="6BA6AA5E" w14:textId="77777777" w:rsidR="00E03772" w:rsidRPr="00E03772" w:rsidRDefault="00E03772" w:rsidP="00E03772">
            <w:pPr>
              <w:rPr>
                <w:rFonts w:asciiTheme="minorHAnsi" w:hAnsiTheme="minorHAnsi" w:cstheme="minorHAnsi"/>
                <w:bCs/>
                <w:color w:val="808080" w:themeColor="background1" w:themeShade="80"/>
                <w:sz w:val="22"/>
                <w:szCs w:val="22"/>
                <w:lang w:val="en-NZ"/>
              </w:rPr>
            </w:pPr>
          </w:p>
        </w:tc>
        <w:tc>
          <w:tcPr>
            <w:tcW w:w="1545" w:type="dxa"/>
          </w:tcPr>
          <w:p w14:paraId="73E2B761" w14:textId="77777777" w:rsidR="00E03772" w:rsidRPr="00E03772" w:rsidRDefault="00E03772" w:rsidP="00E03772">
            <w:pPr>
              <w:rPr>
                <w:rFonts w:asciiTheme="minorHAnsi" w:hAnsiTheme="minorHAnsi" w:cstheme="minorHAnsi"/>
                <w:bCs/>
                <w:color w:val="808080" w:themeColor="background1" w:themeShade="80"/>
                <w:sz w:val="22"/>
                <w:szCs w:val="22"/>
                <w:lang w:val="en-NZ"/>
              </w:rPr>
            </w:pPr>
          </w:p>
        </w:tc>
        <w:tc>
          <w:tcPr>
            <w:tcW w:w="2197" w:type="dxa"/>
          </w:tcPr>
          <w:p w14:paraId="5BA1FF58" w14:textId="77777777" w:rsidR="00E03772" w:rsidRPr="00E03772" w:rsidRDefault="00E03772" w:rsidP="00E03772">
            <w:pPr>
              <w:rPr>
                <w:rFonts w:asciiTheme="minorHAnsi" w:hAnsiTheme="minorHAnsi" w:cstheme="minorHAnsi"/>
                <w:bCs/>
                <w:sz w:val="22"/>
                <w:szCs w:val="22"/>
                <w:lang w:val="en-NZ"/>
              </w:rPr>
            </w:pPr>
          </w:p>
        </w:tc>
      </w:tr>
    </w:tbl>
    <w:p w14:paraId="1FEF35E8" w14:textId="77777777" w:rsidR="00E03772" w:rsidRPr="00E03772" w:rsidRDefault="00E03772" w:rsidP="00E03772">
      <w:pPr>
        <w:rPr>
          <w:rStyle w:val="normaltextrun"/>
          <w:rFonts w:cstheme="minorHAnsi"/>
          <w:lang w:eastAsia="en-AU"/>
        </w:rPr>
      </w:pPr>
    </w:p>
    <w:p w14:paraId="36F3B60F" w14:textId="62794F30" w:rsidR="00E03772" w:rsidRPr="00E03772" w:rsidRDefault="00E03772" w:rsidP="00E03772">
      <w:pPr>
        <w:pStyle w:val="ListParagraph"/>
        <w:numPr>
          <w:ilvl w:val="0"/>
          <w:numId w:val="41"/>
        </w:numPr>
        <w:ind w:left="0"/>
        <w:rPr>
          <w:rStyle w:val="normaltextrun"/>
          <w:rFonts w:eastAsiaTheme="minorEastAsia" w:cstheme="minorHAnsi"/>
          <w:b/>
          <w:iCs/>
          <w:sz w:val="24"/>
          <w:szCs w:val="24"/>
        </w:rPr>
      </w:pPr>
      <w:r w:rsidRPr="00E03772">
        <w:rPr>
          <w:rStyle w:val="normaltextrun"/>
          <w:rFonts w:eastAsiaTheme="minorEastAsia" w:cstheme="minorHAnsi"/>
          <w:b/>
          <w:iCs/>
          <w:sz w:val="24"/>
          <w:szCs w:val="24"/>
        </w:rPr>
        <w:t>Purpose</w:t>
      </w:r>
    </w:p>
    <w:p w14:paraId="5F57F086" w14:textId="69137E50" w:rsidR="0030097A" w:rsidRPr="00E03772" w:rsidRDefault="0086144B" w:rsidP="00E03772">
      <w:pPr>
        <w:rPr>
          <w:rFonts w:cstheme="minorHAnsi"/>
          <w:b/>
        </w:rPr>
      </w:pPr>
      <w:r w:rsidRPr="00E03772">
        <w:rPr>
          <w:rFonts w:cstheme="minorHAnsi"/>
        </w:rPr>
        <w:t xml:space="preserve"> </w:t>
      </w:r>
      <w:r w:rsidR="00A84EA2" w:rsidRPr="00E03772">
        <w:rPr>
          <w:rFonts w:cstheme="minorHAnsi"/>
        </w:rPr>
        <w:t>[ORGANISATION]</w:t>
      </w:r>
      <w:r w:rsidR="0062601E" w:rsidRPr="00E03772">
        <w:rPr>
          <w:rFonts w:cstheme="minorHAnsi"/>
        </w:rPr>
        <w:t xml:space="preserve"> is committed to ensuring that we accurately represent our activities </w:t>
      </w:r>
      <w:r w:rsidR="008709C5" w:rsidRPr="00E03772">
        <w:rPr>
          <w:rFonts w:cstheme="minorHAnsi"/>
        </w:rPr>
        <w:t xml:space="preserve">and values </w:t>
      </w:r>
      <w:r w:rsidR="0062601E" w:rsidRPr="00E03772">
        <w:rPr>
          <w:rFonts w:cstheme="minorHAnsi"/>
        </w:rPr>
        <w:t xml:space="preserve">to the people we work with, our donors, and the public. The purpose of this policy is to guide </w:t>
      </w:r>
      <w:r w:rsidR="00A84EA2" w:rsidRPr="00E03772">
        <w:rPr>
          <w:rFonts w:cstheme="minorHAnsi"/>
        </w:rPr>
        <w:t xml:space="preserve">[ORGANISATION] </w:t>
      </w:r>
      <w:r w:rsidR="0062601E" w:rsidRPr="00E03772">
        <w:rPr>
          <w:rFonts w:cstheme="minorHAnsi"/>
        </w:rPr>
        <w:t xml:space="preserve">and our partners to make a clear separation between aid and development and non-aid and development objectives and activities. </w:t>
      </w:r>
      <w:r w:rsidR="003D6334" w:rsidRPr="00E03772">
        <w:rPr>
          <w:rFonts w:cstheme="minorHAnsi"/>
        </w:rPr>
        <w:t xml:space="preserve">That means </w:t>
      </w:r>
      <w:r w:rsidR="006A7F55" w:rsidRPr="00E03772">
        <w:rPr>
          <w:rFonts w:cstheme="minorHAnsi"/>
        </w:rPr>
        <w:t>complying with</w:t>
      </w:r>
      <w:r w:rsidR="0062601E" w:rsidRPr="00E03772">
        <w:rPr>
          <w:rFonts w:cstheme="minorHAnsi"/>
        </w:rPr>
        <w:t xml:space="preserve"> our CID obligations when communicating with or soliciting donations from private donors and the public, including fundraising for restricted and unrestricted purposes from aid agencies, sponsors and supporters, and fundraising from the general public.</w:t>
      </w:r>
      <w:r w:rsidR="0030097A" w:rsidRPr="00E03772">
        <w:rPr>
          <w:rFonts w:cstheme="minorHAnsi"/>
          <w:b/>
        </w:rPr>
        <w:t xml:space="preserve"> </w:t>
      </w:r>
    </w:p>
    <w:p w14:paraId="579D27B0" w14:textId="6C94F2BF" w:rsidR="0062601E" w:rsidRPr="00E03772" w:rsidRDefault="0062601E" w:rsidP="00E03772">
      <w:pPr>
        <w:pStyle w:val="ListParagraph"/>
        <w:numPr>
          <w:ilvl w:val="0"/>
          <w:numId w:val="41"/>
        </w:numPr>
        <w:ind w:left="0"/>
        <w:rPr>
          <w:rFonts w:cstheme="minorHAnsi"/>
          <w:b/>
          <w:sz w:val="24"/>
          <w:szCs w:val="24"/>
        </w:rPr>
      </w:pPr>
      <w:r w:rsidRPr="00E03772">
        <w:rPr>
          <w:rFonts w:cstheme="minorHAnsi"/>
          <w:b/>
          <w:sz w:val="24"/>
          <w:szCs w:val="24"/>
        </w:rPr>
        <w:t xml:space="preserve">Scope of Policy </w:t>
      </w:r>
    </w:p>
    <w:p w14:paraId="658C49B9" w14:textId="23714F23" w:rsidR="0062601E" w:rsidRPr="00E03772" w:rsidRDefault="0062601E" w:rsidP="00E03772">
      <w:pPr>
        <w:rPr>
          <w:rFonts w:cstheme="minorHAnsi"/>
        </w:rPr>
      </w:pPr>
      <w:r w:rsidRPr="00E03772">
        <w:rPr>
          <w:rFonts w:cstheme="minorHAnsi"/>
        </w:rPr>
        <w:t xml:space="preserve">This Policy is intended to apply to all </w:t>
      </w:r>
      <w:r w:rsidR="00A84EA2" w:rsidRPr="00E03772">
        <w:rPr>
          <w:rFonts w:cstheme="minorHAnsi"/>
        </w:rPr>
        <w:t xml:space="preserve">[ORGANISATION] </w:t>
      </w:r>
      <w:r w:rsidRPr="00E03772">
        <w:rPr>
          <w:rFonts w:cstheme="minorHAnsi"/>
        </w:rPr>
        <w:t xml:space="preserve">activities. The policy is applicable to all </w:t>
      </w:r>
      <w:r w:rsidR="00A84EA2" w:rsidRPr="00E03772">
        <w:rPr>
          <w:rFonts w:cstheme="minorHAnsi"/>
        </w:rPr>
        <w:t xml:space="preserve">[ORGANISATION] </w:t>
      </w:r>
      <w:r w:rsidRPr="00E03772">
        <w:rPr>
          <w:rFonts w:cstheme="minorHAnsi"/>
        </w:rPr>
        <w:t>employees</w:t>
      </w:r>
      <w:r w:rsidR="009125CD" w:rsidRPr="00E03772">
        <w:rPr>
          <w:rFonts w:cstheme="minorHAnsi"/>
        </w:rPr>
        <w:t>, contractors, sub-contractors, interns</w:t>
      </w:r>
      <w:r w:rsidRPr="00E03772">
        <w:rPr>
          <w:rFonts w:cstheme="minorHAnsi"/>
        </w:rPr>
        <w:t xml:space="preserve"> and volunteers</w:t>
      </w:r>
      <w:r w:rsidR="00BA6068" w:rsidRPr="00E03772">
        <w:rPr>
          <w:rFonts w:cstheme="minorHAnsi"/>
        </w:rPr>
        <w:t xml:space="preserve">. </w:t>
      </w:r>
      <w:r w:rsidRPr="00E03772">
        <w:rPr>
          <w:rFonts w:cstheme="minorHAnsi"/>
        </w:rPr>
        <w:t xml:space="preserve">The policy also extends to </w:t>
      </w:r>
      <w:r w:rsidR="00A84EA2" w:rsidRPr="00E03772">
        <w:rPr>
          <w:rFonts w:cstheme="minorHAnsi"/>
        </w:rPr>
        <w:t xml:space="preserve">[ORGANISATION] </w:t>
      </w:r>
      <w:r w:rsidRPr="00E03772">
        <w:rPr>
          <w:rFonts w:cstheme="minorHAnsi"/>
        </w:rPr>
        <w:t xml:space="preserve">partners and associated implementing organisations. </w:t>
      </w:r>
    </w:p>
    <w:p w14:paraId="7074F6A7" w14:textId="6BDC493E" w:rsidR="0062601E" w:rsidRPr="00E03772" w:rsidRDefault="0030097A" w:rsidP="00E03772">
      <w:pPr>
        <w:pStyle w:val="ListParagraph"/>
        <w:numPr>
          <w:ilvl w:val="0"/>
          <w:numId w:val="41"/>
        </w:numPr>
        <w:ind w:left="0"/>
        <w:rPr>
          <w:rFonts w:cstheme="minorHAnsi"/>
          <w:b/>
          <w:sz w:val="24"/>
          <w:szCs w:val="24"/>
        </w:rPr>
      </w:pPr>
      <w:r w:rsidRPr="00E03772">
        <w:rPr>
          <w:rFonts w:cstheme="minorHAnsi"/>
          <w:b/>
          <w:sz w:val="24"/>
          <w:szCs w:val="24"/>
        </w:rPr>
        <w:t>Definitions</w:t>
      </w:r>
    </w:p>
    <w:p w14:paraId="5D0A31C3" w14:textId="0400B17B" w:rsidR="00A84EA2" w:rsidRPr="00E03772" w:rsidRDefault="0030097A" w:rsidP="00E03772">
      <w:pPr>
        <w:rPr>
          <w:rFonts w:cstheme="minorHAnsi"/>
        </w:rPr>
      </w:pPr>
      <w:r w:rsidRPr="00E03772">
        <w:rPr>
          <w:rFonts w:cstheme="minorHAnsi"/>
          <w:b/>
        </w:rPr>
        <w:t>A</w:t>
      </w:r>
      <w:r w:rsidR="0062601E" w:rsidRPr="00E03772">
        <w:rPr>
          <w:rFonts w:cstheme="minorHAnsi"/>
          <w:b/>
        </w:rPr>
        <w:t>id and development activities</w:t>
      </w:r>
      <w:r w:rsidR="0062601E" w:rsidRPr="00E03772">
        <w:rPr>
          <w:rFonts w:cstheme="minorHAnsi"/>
        </w:rPr>
        <w:t xml:space="preserve"> can be distinguished by the following principles: </w:t>
      </w:r>
    </w:p>
    <w:p w14:paraId="5A968464" w14:textId="0FF24631" w:rsidR="00A84EA2" w:rsidRPr="00E03772" w:rsidRDefault="0062601E" w:rsidP="00E03772">
      <w:pPr>
        <w:pStyle w:val="ListParagraph"/>
        <w:numPr>
          <w:ilvl w:val="0"/>
          <w:numId w:val="42"/>
        </w:numPr>
        <w:rPr>
          <w:rFonts w:cstheme="minorHAnsi"/>
        </w:rPr>
      </w:pPr>
      <w:r w:rsidRPr="00E03772">
        <w:rPr>
          <w:rFonts w:cstheme="minorHAnsi"/>
        </w:rPr>
        <w:t>Strengths based approaches which encourage people and communities to create solutions for themselves</w:t>
      </w:r>
      <w:r w:rsidR="00A84EA2" w:rsidRPr="00E03772">
        <w:rPr>
          <w:rFonts w:cstheme="minorHAnsi"/>
        </w:rPr>
        <w:t>;</w:t>
      </w:r>
    </w:p>
    <w:p w14:paraId="5219DF58" w14:textId="5C7B7F45" w:rsidR="00A84EA2" w:rsidRPr="00E03772" w:rsidRDefault="0062601E" w:rsidP="00E03772">
      <w:pPr>
        <w:pStyle w:val="ListParagraph"/>
        <w:numPr>
          <w:ilvl w:val="0"/>
          <w:numId w:val="42"/>
        </w:numPr>
        <w:rPr>
          <w:rFonts w:cstheme="minorHAnsi"/>
        </w:rPr>
      </w:pPr>
      <w:r w:rsidRPr="00E03772">
        <w:rPr>
          <w:rFonts w:cstheme="minorHAnsi"/>
        </w:rPr>
        <w:t>Processes that seek to address the causes of poverty</w:t>
      </w:r>
      <w:r w:rsidR="00A84EA2" w:rsidRPr="00E03772">
        <w:rPr>
          <w:rFonts w:cstheme="minorHAnsi"/>
        </w:rPr>
        <w:t>;</w:t>
      </w:r>
      <w:r w:rsidRPr="00E03772">
        <w:rPr>
          <w:rFonts w:cstheme="minorHAnsi"/>
        </w:rPr>
        <w:t xml:space="preserve"> </w:t>
      </w:r>
    </w:p>
    <w:p w14:paraId="422F2FC4" w14:textId="08CE601F" w:rsidR="00A84EA2" w:rsidRPr="00E03772" w:rsidRDefault="0062601E" w:rsidP="00E03772">
      <w:pPr>
        <w:pStyle w:val="ListParagraph"/>
        <w:numPr>
          <w:ilvl w:val="0"/>
          <w:numId w:val="42"/>
        </w:numPr>
        <w:rPr>
          <w:rFonts w:cstheme="minorHAnsi"/>
        </w:rPr>
      </w:pPr>
      <w:r w:rsidRPr="00E03772">
        <w:rPr>
          <w:rFonts w:cstheme="minorHAnsi"/>
        </w:rPr>
        <w:lastRenderedPageBreak/>
        <w:t>Processes that seek to empower rights holders to claim their rights and ensure that duty bearers exercise their duties</w:t>
      </w:r>
      <w:r w:rsidR="00A84EA2" w:rsidRPr="00E03772">
        <w:rPr>
          <w:rFonts w:cstheme="minorHAnsi"/>
        </w:rPr>
        <w:t>;</w:t>
      </w:r>
      <w:r w:rsidRPr="00E03772">
        <w:rPr>
          <w:rFonts w:cstheme="minorHAnsi"/>
        </w:rPr>
        <w:t xml:space="preserve"> </w:t>
      </w:r>
    </w:p>
    <w:p w14:paraId="223EC457" w14:textId="77777777" w:rsidR="0030097A" w:rsidRPr="00E03772" w:rsidRDefault="0062601E" w:rsidP="00E03772">
      <w:pPr>
        <w:pStyle w:val="ListParagraph"/>
        <w:numPr>
          <w:ilvl w:val="0"/>
          <w:numId w:val="42"/>
        </w:numPr>
        <w:rPr>
          <w:rFonts w:cstheme="minorHAnsi"/>
        </w:rPr>
      </w:pPr>
      <w:r w:rsidRPr="00E03772">
        <w:rPr>
          <w:rFonts w:cstheme="minorHAnsi"/>
        </w:rPr>
        <w:t>Supporting systems and structures which enable people to move out of poverty</w:t>
      </w:r>
      <w:r w:rsidR="00A84EA2" w:rsidRPr="00E03772">
        <w:rPr>
          <w:rFonts w:cstheme="minorHAnsi"/>
        </w:rPr>
        <w:t>;</w:t>
      </w:r>
    </w:p>
    <w:p w14:paraId="569BBE54" w14:textId="13B85919" w:rsidR="0030097A" w:rsidRPr="00E03772" w:rsidRDefault="0062601E" w:rsidP="00E03772">
      <w:pPr>
        <w:pStyle w:val="ListParagraph"/>
        <w:numPr>
          <w:ilvl w:val="0"/>
          <w:numId w:val="42"/>
        </w:numPr>
        <w:rPr>
          <w:rFonts w:cstheme="minorHAnsi"/>
        </w:rPr>
      </w:pPr>
      <w:r w:rsidRPr="00E03772">
        <w:rPr>
          <w:rFonts w:cstheme="minorHAnsi"/>
        </w:rPr>
        <w:t xml:space="preserve">Emergency relief, disaster recovery and meeting the immediate needs of refugees and internally displaced people. </w:t>
      </w:r>
    </w:p>
    <w:p w14:paraId="21F76F50" w14:textId="3A22C17E" w:rsidR="00EC4245" w:rsidRPr="00E03772" w:rsidRDefault="00EC4245" w:rsidP="00E03772">
      <w:pPr>
        <w:rPr>
          <w:rFonts w:cstheme="minorHAnsi"/>
        </w:rPr>
      </w:pPr>
      <w:r w:rsidRPr="00E03772">
        <w:rPr>
          <w:rFonts w:cstheme="minorHAnsi"/>
          <w:b/>
        </w:rPr>
        <w:t>N</w:t>
      </w:r>
      <w:r w:rsidR="0030097A" w:rsidRPr="00E03772">
        <w:rPr>
          <w:rFonts w:cstheme="minorHAnsi"/>
          <w:b/>
        </w:rPr>
        <w:t>on-aid and development activities</w:t>
      </w:r>
      <w:r w:rsidR="0030097A" w:rsidRPr="00E03772">
        <w:rPr>
          <w:rFonts w:cstheme="minorHAnsi"/>
        </w:rPr>
        <w:t xml:space="preserve"> </w:t>
      </w:r>
      <w:r w:rsidRPr="00E03772">
        <w:rPr>
          <w:rFonts w:cstheme="minorHAnsi"/>
        </w:rPr>
        <w:t xml:space="preserve">can be distinguished by </w:t>
      </w:r>
      <w:r w:rsidR="0030097A" w:rsidRPr="00E03772">
        <w:rPr>
          <w:rFonts w:cstheme="minorHAnsi"/>
        </w:rPr>
        <w:t xml:space="preserve">any activity whose objectives include the promotion of </w:t>
      </w:r>
      <w:r w:rsidR="005A7D63" w:rsidRPr="00E03772">
        <w:rPr>
          <w:rFonts w:cstheme="minorHAnsi"/>
        </w:rPr>
        <w:t>evangelical activities</w:t>
      </w:r>
      <w:r w:rsidRPr="00E03772">
        <w:rPr>
          <w:rFonts w:cstheme="minorHAnsi"/>
        </w:rPr>
        <w:t xml:space="preserve"> or partisan political activities</w:t>
      </w:r>
      <w:r w:rsidR="0030097A" w:rsidRPr="00E03772">
        <w:rPr>
          <w:rFonts w:cstheme="minorHAnsi"/>
        </w:rPr>
        <w:t xml:space="preserve"> will be considered as a non-aid and development activity and will be managed and accounted for separately. </w:t>
      </w:r>
    </w:p>
    <w:p w14:paraId="3699DAF3" w14:textId="64A82745" w:rsidR="00EC4245" w:rsidRPr="00E03772" w:rsidRDefault="00EC4245" w:rsidP="00E03772">
      <w:pPr>
        <w:rPr>
          <w:rFonts w:cstheme="minorHAnsi"/>
        </w:rPr>
      </w:pPr>
      <w:r w:rsidRPr="00E03772">
        <w:rPr>
          <w:rFonts w:cstheme="minorHAnsi"/>
          <w:b/>
        </w:rPr>
        <w:t>Evangelical activities</w:t>
      </w:r>
      <w:r w:rsidRPr="00E03772">
        <w:rPr>
          <w:rFonts w:cstheme="minorHAnsi"/>
        </w:rPr>
        <w:t xml:space="preserve"> are those activities that promote a particular religious adherence or are undertaken with the intention of converting individuals or groups from one faith and/or denominational affiliation to another. </w:t>
      </w:r>
    </w:p>
    <w:p w14:paraId="13C74FD2" w14:textId="05A2536B" w:rsidR="0062601E" w:rsidRPr="00E03772" w:rsidRDefault="00EC4245" w:rsidP="00E03772">
      <w:pPr>
        <w:rPr>
          <w:rFonts w:cstheme="minorHAnsi"/>
        </w:rPr>
      </w:pPr>
      <w:r w:rsidRPr="00E03772">
        <w:rPr>
          <w:rFonts w:cstheme="minorHAnsi"/>
          <w:b/>
        </w:rPr>
        <w:t>Partisan political activities</w:t>
      </w:r>
      <w:r w:rsidRPr="00E03772">
        <w:rPr>
          <w:rFonts w:cstheme="minorHAnsi"/>
        </w:rPr>
        <w:t xml:space="preserve"> are those that are associated with facilitating or supporting specific political individuals to gain power. This does not include advocacy which is aimed at persuading and influencing decision makers and opinion </w:t>
      </w:r>
      <w:r w:rsidR="00782221" w:rsidRPr="00E03772">
        <w:rPr>
          <w:rFonts w:cstheme="minorHAnsi"/>
        </w:rPr>
        <w:t>leaders and</w:t>
      </w:r>
      <w:r w:rsidRPr="00E03772">
        <w:rPr>
          <w:rFonts w:cstheme="minorHAnsi"/>
        </w:rPr>
        <w:t xml:space="preserve"> is not aimed at promoting partisan political objectives. </w:t>
      </w:r>
    </w:p>
    <w:p w14:paraId="2654D314" w14:textId="29A32941" w:rsidR="00782221" w:rsidRPr="00E03772" w:rsidRDefault="00782221" w:rsidP="00E03772">
      <w:pPr>
        <w:rPr>
          <w:rFonts w:cstheme="minorHAnsi"/>
        </w:rPr>
      </w:pPr>
      <w:r w:rsidRPr="00E03772">
        <w:rPr>
          <w:rFonts w:cstheme="minorHAnsi"/>
          <w:b/>
          <w:bCs/>
        </w:rPr>
        <w:t>Other resources:</w:t>
      </w:r>
      <w:r w:rsidRPr="00E03772">
        <w:rPr>
          <w:rFonts w:cstheme="minorHAnsi"/>
        </w:rPr>
        <w:t xml:space="preserve"> Include (but are not limited to) funds raised, gifts in kind, property, assets, staff and volunteers of signatory and partner organisations.</w:t>
      </w:r>
    </w:p>
    <w:p w14:paraId="5D16A6FA" w14:textId="2CE14E1E" w:rsidR="0062601E" w:rsidRPr="00E03772" w:rsidRDefault="0062601E" w:rsidP="00E03772">
      <w:pPr>
        <w:pStyle w:val="ListParagraph"/>
        <w:numPr>
          <w:ilvl w:val="0"/>
          <w:numId w:val="41"/>
        </w:numPr>
        <w:ind w:left="0"/>
        <w:rPr>
          <w:rFonts w:cstheme="minorHAnsi"/>
          <w:b/>
          <w:sz w:val="24"/>
          <w:szCs w:val="24"/>
        </w:rPr>
      </w:pPr>
      <w:r w:rsidRPr="00E03772">
        <w:rPr>
          <w:rFonts w:cstheme="minorHAnsi"/>
          <w:b/>
          <w:sz w:val="24"/>
          <w:szCs w:val="24"/>
        </w:rPr>
        <w:t xml:space="preserve">Control Procedures </w:t>
      </w:r>
    </w:p>
    <w:p w14:paraId="74BA169C" w14:textId="77994BFA" w:rsidR="00333220" w:rsidRPr="00E03772" w:rsidRDefault="0075648A" w:rsidP="00E03772">
      <w:pPr>
        <w:rPr>
          <w:rFonts w:cstheme="minorHAnsi"/>
        </w:rPr>
      </w:pPr>
      <w:r w:rsidRPr="00E03772">
        <w:rPr>
          <w:rFonts w:cstheme="minorHAnsi"/>
        </w:rPr>
        <w:t xml:space="preserve"> </w:t>
      </w:r>
      <w:r w:rsidR="00F74ED4" w:rsidRPr="00E03772">
        <w:rPr>
          <w:rFonts w:cstheme="minorHAnsi"/>
        </w:rPr>
        <w:t xml:space="preserve">[ORGANISATION] </w:t>
      </w:r>
      <w:r w:rsidR="0062601E" w:rsidRPr="00E03772">
        <w:rPr>
          <w:rFonts w:cstheme="minorHAnsi"/>
        </w:rPr>
        <w:t xml:space="preserve">ensures that we and our partners can </w:t>
      </w:r>
      <w:r w:rsidR="00E94362" w:rsidRPr="00E03772">
        <w:rPr>
          <w:rFonts w:cstheme="minorHAnsi"/>
        </w:rPr>
        <w:t xml:space="preserve">accurately </w:t>
      </w:r>
      <w:r w:rsidR="0062601E" w:rsidRPr="00E03772">
        <w:rPr>
          <w:rFonts w:cstheme="minorHAnsi"/>
        </w:rPr>
        <w:t xml:space="preserve">differentiate between development and nondevelopment activity and communicate this appropriately to stakeholders, donors and the public. </w:t>
      </w:r>
    </w:p>
    <w:p w14:paraId="4E2FBE05" w14:textId="77777777" w:rsidR="00333220" w:rsidRPr="00E03772" w:rsidRDefault="0062601E" w:rsidP="00E03772">
      <w:pPr>
        <w:rPr>
          <w:rFonts w:cstheme="minorHAnsi"/>
        </w:rPr>
      </w:pPr>
      <w:r w:rsidRPr="00E03772">
        <w:rPr>
          <w:rFonts w:cstheme="minorHAnsi"/>
          <w:b/>
          <w:i/>
        </w:rPr>
        <w:t>Obligation 1:</w:t>
      </w:r>
      <w:r w:rsidRPr="00E03772">
        <w:rPr>
          <w:rFonts w:cstheme="minorHAnsi"/>
        </w:rPr>
        <w:t xml:space="preserve"> Signatory organisations will have a clear separation between aid and development and non-aid and development objectives and activities based on the definitions of aid and development and non-aid and development in section F (Definitions) of the Code. </w:t>
      </w:r>
    </w:p>
    <w:p w14:paraId="7E3FBBDD" w14:textId="1FC11CF7" w:rsidR="00F74ED4" w:rsidRPr="00E03772" w:rsidRDefault="00E03772" w:rsidP="00E03772">
      <w:pPr>
        <w:rPr>
          <w:rFonts w:cstheme="minorHAnsi"/>
          <w:b/>
          <w:i/>
        </w:rPr>
      </w:pPr>
      <w:r>
        <w:rPr>
          <w:rFonts w:cstheme="minorHAnsi"/>
          <w:b/>
          <w:i/>
        </w:rPr>
        <w:t>Procedures</w:t>
      </w:r>
    </w:p>
    <w:p w14:paraId="5686791C" w14:textId="163CD31D" w:rsidR="00333220" w:rsidRPr="00E03772" w:rsidRDefault="0062601E" w:rsidP="00E03772">
      <w:pPr>
        <w:rPr>
          <w:rFonts w:cstheme="minorHAnsi"/>
        </w:rPr>
      </w:pPr>
      <w:r w:rsidRPr="00E03772">
        <w:rPr>
          <w:rFonts w:cstheme="minorHAnsi"/>
        </w:rPr>
        <w:t xml:space="preserve">The signatory will appraise all project proposals to determine whether they include non-aid and development components. </w:t>
      </w:r>
    </w:p>
    <w:p w14:paraId="786BE52D" w14:textId="41144124" w:rsidR="00333220" w:rsidRPr="00E03772" w:rsidRDefault="0062601E" w:rsidP="00E03772">
      <w:pPr>
        <w:rPr>
          <w:rFonts w:cstheme="minorHAnsi"/>
        </w:rPr>
      </w:pPr>
      <w:r w:rsidRPr="00E03772">
        <w:rPr>
          <w:rFonts w:cstheme="minorHAnsi"/>
        </w:rPr>
        <w:t xml:space="preserve">Appraisers will record any issues, which must then be followed up to ensure that the policy requirements are satisfied before the project is approved. </w:t>
      </w:r>
      <w:r w:rsidR="00567083" w:rsidRPr="00E03772">
        <w:rPr>
          <w:rFonts w:cstheme="minorHAnsi"/>
        </w:rPr>
        <w:t xml:space="preserve">This includes </w:t>
      </w:r>
      <w:r w:rsidR="008B5C27" w:rsidRPr="00E03772">
        <w:rPr>
          <w:rFonts w:cstheme="minorHAnsi"/>
        </w:rPr>
        <w:t>verifying</w:t>
      </w:r>
      <w:r w:rsidR="00592B2C" w:rsidRPr="00E03772">
        <w:rPr>
          <w:rFonts w:cstheme="minorHAnsi"/>
        </w:rPr>
        <w:t xml:space="preserve"> to the organisation’s best judgement that</w:t>
      </w:r>
      <w:r w:rsidR="008B5C27" w:rsidRPr="00E03772">
        <w:rPr>
          <w:rFonts w:cstheme="minorHAnsi"/>
        </w:rPr>
        <w:t xml:space="preserve"> funds</w:t>
      </w:r>
      <w:r w:rsidR="00200E8F" w:rsidRPr="00E03772">
        <w:rPr>
          <w:rFonts w:cstheme="minorHAnsi"/>
        </w:rPr>
        <w:t xml:space="preserve"> </w:t>
      </w:r>
      <w:r w:rsidR="004115FA" w:rsidRPr="00E03772">
        <w:rPr>
          <w:rFonts w:cstheme="minorHAnsi"/>
        </w:rPr>
        <w:t xml:space="preserve">and other resources </w:t>
      </w:r>
      <w:r w:rsidR="008B5C27" w:rsidRPr="00E03772">
        <w:rPr>
          <w:rFonts w:cstheme="minorHAnsi"/>
        </w:rPr>
        <w:t xml:space="preserve">raised for aid and development purposes are not used for exploitation of </w:t>
      </w:r>
      <w:r w:rsidR="002E70F4" w:rsidRPr="00E03772">
        <w:rPr>
          <w:rFonts w:cstheme="minorHAnsi"/>
        </w:rPr>
        <w:t>vulnerable people and/or communities</w:t>
      </w:r>
      <w:r w:rsidR="00957C23" w:rsidRPr="00E03772">
        <w:rPr>
          <w:rFonts w:cstheme="minorHAnsi"/>
        </w:rPr>
        <w:t xml:space="preserve">. </w:t>
      </w:r>
    </w:p>
    <w:p w14:paraId="70B9B56A" w14:textId="71C51257" w:rsidR="00333220" w:rsidRPr="00E03772" w:rsidRDefault="0062601E" w:rsidP="00E03772">
      <w:pPr>
        <w:rPr>
          <w:rFonts w:cstheme="minorHAnsi"/>
        </w:rPr>
      </w:pPr>
      <w:r w:rsidRPr="00E03772">
        <w:rPr>
          <w:rFonts w:cstheme="minorHAnsi"/>
        </w:rPr>
        <w:t xml:space="preserve">Appraisers record any aspects of the project that should be closely monitored over the life of the project to ensure compliance with this policy. </w:t>
      </w:r>
    </w:p>
    <w:p w14:paraId="624C9559" w14:textId="1DD9B58B" w:rsidR="00333220" w:rsidRPr="00E03772" w:rsidRDefault="0062601E" w:rsidP="00E03772">
      <w:pPr>
        <w:rPr>
          <w:rFonts w:cstheme="minorHAnsi"/>
        </w:rPr>
      </w:pPr>
      <w:r w:rsidRPr="00E03772">
        <w:rPr>
          <w:rFonts w:cstheme="minorHAnsi"/>
        </w:rPr>
        <w:t xml:space="preserve">Partner capacity assessment processes require the signatory to identify whether the partner is engaged in non-development activities, and if so, how it is able to manage and account for them separately to aid and development activity. </w:t>
      </w:r>
    </w:p>
    <w:p w14:paraId="3B5165B7" w14:textId="16D60470" w:rsidR="00333220" w:rsidRPr="00E03772" w:rsidRDefault="0062601E" w:rsidP="00E03772">
      <w:pPr>
        <w:rPr>
          <w:rFonts w:cstheme="minorHAnsi"/>
        </w:rPr>
      </w:pPr>
      <w:r w:rsidRPr="00E03772">
        <w:rPr>
          <w:rFonts w:cstheme="minorHAnsi"/>
        </w:rPr>
        <w:lastRenderedPageBreak/>
        <w:t xml:space="preserve">Components of projects that represent non-development activity will be managed, reported and accounted for separately to aid and development components. </w:t>
      </w:r>
    </w:p>
    <w:p w14:paraId="781C3C05" w14:textId="6C704471" w:rsidR="00333220" w:rsidRPr="00E03772" w:rsidRDefault="0062601E" w:rsidP="00E03772">
      <w:pPr>
        <w:rPr>
          <w:rFonts w:cstheme="minorHAnsi"/>
        </w:rPr>
      </w:pPr>
      <w:r w:rsidRPr="00E03772">
        <w:rPr>
          <w:rFonts w:cstheme="minorHAnsi"/>
        </w:rPr>
        <w:t xml:space="preserve">In-country project monitoring will include, where relevant, monitoring of the separation of non-development activities from aid and development activities. </w:t>
      </w:r>
    </w:p>
    <w:p w14:paraId="06230E37" w14:textId="77777777" w:rsidR="00F74ED4" w:rsidRPr="00E03772" w:rsidRDefault="0062601E" w:rsidP="00E03772">
      <w:pPr>
        <w:rPr>
          <w:rFonts w:cstheme="minorHAnsi"/>
        </w:rPr>
      </w:pPr>
      <w:r w:rsidRPr="00E03772">
        <w:rPr>
          <w:rFonts w:cstheme="minorHAnsi"/>
          <w:b/>
          <w:i/>
        </w:rPr>
        <w:t>Obligation 2:</w:t>
      </w:r>
      <w:r w:rsidRPr="00E03772">
        <w:rPr>
          <w:rFonts w:cstheme="minorHAnsi"/>
        </w:rPr>
        <w:t xml:space="preserve"> This separation will be clear in all fundraising, programs and other activities, in public communications and in all reporting including annual reports. </w:t>
      </w:r>
    </w:p>
    <w:p w14:paraId="22E18DFE" w14:textId="4492F7A8" w:rsidR="007F3E2A" w:rsidRPr="00E03772" w:rsidRDefault="00E03772" w:rsidP="00E03772">
      <w:pPr>
        <w:rPr>
          <w:rFonts w:cstheme="minorHAnsi"/>
          <w:b/>
          <w:i/>
        </w:rPr>
      </w:pPr>
      <w:r>
        <w:rPr>
          <w:rFonts w:cstheme="minorHAnsi"/>
          <w:b/>
          <w:i/>
        </w:rPr>
        <w:t>Procedures</w:t>
      </w:r>
      <w:r w:rsidR="0062601E" w:rsidRPr="00E03772">
        <w:rPr>
          <w:rFonts w:cstheme="minorHAnsi"/>
          <w:b/>
          <w:i/>
        </w:rPr>
        <w:t xml:space="preserve"> </w:t>
      </w:r>
    </w:p>
    <w:p w14:paraId="23CB003F" w14:textId="6FD9EBAD" w:rsidR="007F3E2A" w:rsidRPr="00E03772" w:rsidRDefault="0062601E" w:rsidP="00E03772">
      <w:pPr>
        <w:rPr>
          <w:rFonts w:cstheme="minorHAnsi"/>
        </w:rPr>
      </w:pPr>
      <w:r w:rsidRPr="00E03772">
        <w:rPr>
          <w:rFonts w:cstheme="minorHAnsi"/>
        </w:rPr>
        <w:t>Guidelines are in place that address appropriate reporting in organisational promotional materials.</w:t>
      </w:r>
    </w:p>
    <w:p w14:paraId="394D6281" w14:textId="05A18466" w:rsidR="007F3E2A" w:rsidRPr="00E03772" w:rsidRDefault="0062601E" w:rsidP="00E03772">
      <w:pPr>
        <w:rPr>
          <w:rFonts w:cstheme="minorHAnsi"/>
        </w:rPr>
      </w:pPr>
      <w:r w:rsidRPr="00E03772">
        <w:rPr>
          <w:rFonts w:cstheme="minorHAnsi"/>
        </w:rPr>
        <w:t xml:space="preserve">All articles written by overseas project partners or photos supplied by partners for reporting materials are reviewed for differentiation between development and nondevelopment activities. </w:t>
      </w:r>
    </w:p>
    <w:p w14:paraId="77DA094E" w14:textId="5644333C" w:rsidR="007F3E2A" w:rsidRPr="00E03772" w:rsidRDefault="0062601E" w:rsidP="00E03772">
      <w:pPr>
        <w:rPr>
          <w:rFonts w:cstheme="minorHAnsi"/>
        </w:rPr>
      </w:pPr>
      <w:r w:rsidRPr="00E03772">
        <w:rPr>
          <w:rFonts w:cstheme="minorHAnsi"/>
        </w:rPr>
        <w:t xml:space="preserve">Communications materials are reviewed prior to publication to ensure separation of reporting and fundraising for aid and development and non-development activities. </w:t>
      </w:r>
    </w:p>
    <w:p w14:paraId="63FBE450" w14:textId="77777777" w:rsidR="007F3E2A" w:rsidRPr="00E03772" w:rsidRDefault="0062601E" w:rsidP="00E03772">
      <w:pPr>
        <w:rPr>
          <w:rFonts w:cstheme="minorHAnsi"/>
        </w:rPr>
      </w:pPr>
      <w:r w:rsidRPr="00E03772">
        <w:rPr>
          <w:rFonts w:cstheme="minorHAnsi"/>
          <w:b/>
          <w:i/>
        </w:rPr>
        <w:t>Obligation 3:</w:t>
      </w:r>
      <w:r w:rsidRPr="00E03772">
        <w:rPr>
          <w:rFonts w:cstheme="minorHAnsi"/>
        </w:rPr>
        <w:t xml:space="preserve"> Any fundraising solicitations that include references to both aid and development and non-development activities will provide donors with the choice of contributing to aid and development activity only. </w:t>
      </w:r>
    </w:p>
    <w:p w14:paraId="1B123226" w14:textId="3AE1195E" w:rsidR="00F74ED4" w:rsidRPr="00E03772" w:rsidRDefault="00E03772" w:rsidP="00E03772">
      <w:pPr>
        <w:rPr>
          <w:rFonts w:cstheme="minorHAnsi"/>
          <w:b/>
          <w:i/>
        </w:rPr>
      </w:pPr>
      <w:r w:rsidRPr="00E03772">
        <w:rPr>
          <w:rFonts w:cstheme="minorHAnsi"/>
          <w:b/>
          <w:i/>
        </w:rPr>
        <w:t>Procedures</w:t>
      </w:r>
    </w:p>
    <w:p w14:paraId="3A8B80A2" w14:textId="205FA7BD" w:rsidR="007F3E2A" w:rsidRPr="00E03772" w:rsidRDefault="0062601E" w:rsidP="00E03772">
      <w:pPr>
        <w:rPr>
          <w:rFonts w:cstheme="minorHAnsi"/>
        </w:rPr>
      </w:pPr>
      <w:r w:rsidRPr="00E03772">
        <w:rPr>
          <w:rFonts w:cstheme="minorHAnsi"/>
        </w:rPr>
        <w:t xml:space="preserve">Fundraising materials will be reviewed prior to publication to ensure that solicitations make a clear distinction between aid and development and nondevelopment activities. </w:t>
      </w:r>
    </w:p>
    <w:p w14:paraId="6CE1D533" w14:textId="3E6D7DFA" w:rsidR="007F3E2A" w:rsidRPr="00E03772" w:rsidRDefault="0062601E" w:rsidP="00E03772">
      <w:pPr>
        <w:rPr>
          <w:rFonts w:cstheme="minorHAnsi"/>
        </w:rPr>
      </w:pPr>
      <w:r w:rsidRPr="00E03772">
        <w:rPr>
          <w:rFonts w:cstheme="minorHAnsi"/>
        </w:rPr>
        <w:t xml:space="preserve">Where fundraising solicitations include references to both aid and development and non-development activities, they will be reviewed to ensure that donors are provided with the </w:t>
      </w:r>
      <w:r w:rsidR="008A6094" w:rsidRPr="00E03772">
        <w:rPr>
          <w:rFonts w:cstheme="minorHAnsi"/>
        </w:rPr>
        <w:t xml:space="preserve">clear </w:t>
      </w:r>
      <w:r w:rsidRPr="00E03772">
        <w:rPr>
          <w:rFonts w:cstheme="minorHAnsi"/>
        </w:rPr>
        <w:t xml:space="preserve">choice of contributing to aid and development activity only. </w:t>
      </w:r>
    </w:p>
    <w:p w14:paraId="2058D94F" w14:textId="77777777" w:rsidR="007F3E2A" w:rsidRPr="00E03772" w:rsidRDefault="0062601E" w:rsidP="00E03772">
      <w:pPr>
        <w:rPr>
          <w:rFonts w:cstheme="minorHAnsi"/>
        </w:rPr>
      </w:pPr>
      <w:r w:rsidRPr="00E03772">
        <w:rPr>
          <w:rFonts w:cstheme="minorHAnsi"/>
          <w:b/>
          <w:i/>
        </w:rPr>
        <w:t>Obligation 4:</w:t>
      </w:r>
      <w:r w:rsidRPr="00E03772">
        <w:rPr>
          <w:rFonts w:cstheme="minorHAnsi"/>
        </w:rPr>
        <w:t xml:space="preserve"> Signatory organisations will ensure that any such separation in fundraising, programs and other activities, in public communications and in reporting, extends to partner and implementing organisations and is documented. </w:t>
      </w:r>
    </w:p>
    <w:p w14:paraId="74FB0512" w14:textId="689710C0" w:rsidR="00F74ED4" w:rsidRPr="00E03772" w:rsidRDefault="0062601E" w:rsidP="00E03772">
      <w:pPr>
        <w:rPr>
          <w:rFonts w:cstheme="minorHAnsi"/>
        </w:rPr>
      </w:pPr>
      <w:r w:rsidRPr="00E03772">
        <w:rPr>
          <w:rFonts w:cstheme="minorHAnsi"/>
          <w:b/>
          <w:i/>
        </w:rPr>
        <w:t>Procedures</w:t>
      </w:r>
      <w:r w:rsidRPr="00E03772">
        <w:rPr>
          <w:rFonts w:cstheme="minorHAnsi"/>
        </w:rPr>
        <w:t xml:space="preserve"> </w:t>
      </w:r>
    </w:p>
    <w:p w14:paraId="7FAA0DE6" w14:textId="64A94CAB" w:rsidR="007F3E2A" w:rsidRPr="00E03772" w:rsidRDefault="0062601E" w:rsidP="00E03772">
      <w:pPr>
        <w:rPr>
          <w:rFonts w:cstheme="minorHAnsi"/>
        </w:rPr>
      </w:pPr>
      <w:r w:rsidRPr="00E03772">
        <w:rPr>
          <w:rFonts w:cstheme="minorHAnsi"/>
        </w:rPr>
        <w:t xml:space="preserve">Communication with new partners will state the signatory’s position on support for non-development activity. </w:t>
      </w:r>
    </w:p>
    <w:p w14:paraId="369DB828" w14:textId="26C52568" w:rsidR="00F74ED4" w:rsidRPr="00E03772" w:rsidRDefault="0062601E" w:rsidP="00E03772">
      <w:pPr>
        <w:rPr>
          <w:rFonts w:cstheme="minorHAnsi"/>
        </w:rPr>
      </w:pPr>
      <w:r w:rsidRPr="00E03772">
        <w:rPr>
          <w:rFonts w:cstheme="minorHAnsi"/>
        </w:rPr>
        <w:t xml:space="preserve">Signatory partners will receive a copy of this policy. </w:t>
      </w:r>
    </w:p>
    <w:p w14:paraId="10C51FD2" w14:textId="6EF026DB" w:rsidR="007F3E2A" w:rsidRPr="00E03772" w:rsidRDefault="0062601E" w:rsidP="00E03772">
      <w:pPr>
        <w:rPr>
          <w:rFonts w:cstheme="minorHAnsi"/>
        </w:rPr>
      </w:pPr>
      <w:r w:rsidRPr="00E03772">
        <w:rPr>
          <w:rFonts w:cstheme="minorHAnsi"/>
        </w:rPr>
        <w:t xml:space="preserve">The partner agreement Memorandum of Understanding (MoU) or equivalent will include clear definitions of aid and development activity and non-development activity. </w:t>
      </w:r>
    </w:p>
    <w:p w14:paraId="5B153453" w14:textId="7377D418" w:rsidR="007F3E2A" w:rsidRPr="00E03772" w:rsidRDefault="0062601E" w:rsidP="00E03772">
      <w:pPr>
        <w:rPr>
          <w:rFonts w:cstheme="minorHAnsi"/>
        </w:rPr>
      </w:pPr>
      <w:r w:rsidRPr="00E03772">
        <w:rPr>
          <w:rFonts w:cstheme="minorHAnsi"/>
        </w:rPr>
        <w:t xml:space="preserve">The partner agreement (MoU or equivalent) will require the partner to agree that ANGO funds designated for aid and development purposes will not be used to fund any non-development activity. </w:t>
      </w:r>
    </w:p>
    <w:p w14:paraId="2337F0E0" w14:textId="12B2427D" w:rsidR="00336C4F" w:rsidRPr="00E03772" w:rsidRDefault="0062601E" w:rsidP="00E03772">
      <w:pPr>
        <w:rPr>
          <w:rFonts w:cstheme="minorHAnsi"/>
        </w:rPr>
      </w:pPr>
      <w:r w:rsidRPr="00E03772">
        <w:rPr>
          <w:rFonts w:cstheme="minorHAnsi"/>
        </w:rPr>
        <w:lastRenderedPageBreak/>
        <w:t xml:space="preserve">Ongoing dialogue between the ANGO and its partners will reinforce the definitions of development and non-development activity and the need for a separation between development and non-development activity. </w:t>
      </w:r>
    </w:p>
    <w:sectPr w:rsidR="00336C4F" w:rsidRPr="00E0377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8DC45" w14:textId="77777777" w:rsidR="0044082C" w:rsidRDefault="0044082C" w:rsidP="008B217C">
      <w:pPr>
        <w:spacing w:after="0" w:line="240" w:lineRule="auto"/>
      </w:pPr>
      <w:r>
        <w:separator/>
      </w:r>
    </w:p>
  </w:endnote>
  <w:endnote w:type="continuationSeparator" w:id="0">
    <w:p w14:paraId="2437BAA8" w14:textId="77777777" w:rsidR="0044082C" w:rsidRDefault="0044082C" w:rsidP="008B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1E4C" w14:textId="77777777" w:rsidR="002B3E64" w:rsidRDefault="002B3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8261" w14:textId="77777777" w:rsidR="002B3E64" w:rsidRDefault="002B3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D5A5" w14:textId="77777777" w:rsidR="002B3E64" w:rsidRDefault="002B3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F201C" w14:textId="77777777" w:rsidR="0044082C" w:rsidRDefault="0044082C" w:rsidP="008B217C">
      <w:pPr>
        <w:spacing w:after="0" w:line="240" w:lineRule="auto"/>
      </w:pPr>
      <w:r>
        <w:separator/>
      </w:r>
    </w:p>
  </w:footnote>
  <w:footnote w:type="continuationSeparator" w:id="0">
    <w:p w14:paraId="7742CD2D" w14:textId="77777777" w:rsidR="0044082C" w:rsidRDefault="0044082C" w:rsidP="008B2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C669" w14:textId="77777777" w:rsidR="002B3E64" w:rsidRDefault="002B3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281083"/>
      <w:docPartObj>
        <w:docPartGallery w:val="Watermarks"/>
        <w:docPartUnique/>
      </w:docPartObj>
    </w:sdtPr>
    <w:sdtEndPr/>
    <w:sdtContent>
      <w:p w14:paraId="44EAFD9C" w14:textId="77777777" w:rsidR="002B3E64" w:rsidRDefault="0044082C">
        <w:pPr>
          <w:pStyle w:val="Header"/>
        </w:pPr>
        <w:r>
          <w:rPr>
            <w:noProof/>
            <w:lang w:val="en-US"/>
          </w:rPr>
          <w:pict w14:anchorId="6BA78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50205" o:spid="_x0000_s2049" type="#_x0000_t136" style="position:absolute;margin-left:0;margin-top:0;width:477.2pt;height:159.05pt;rotation:315;z-index:-251658752;mso-position-horizontal:center;mso-position-horizontal-relative:margin;mso-position-vertical:center;mso-position-vertical-relative:margin" o:allowincell="f" fillcolor="#70ad47 [3209]" stroked="f">
              <v:fill opacity=".5"/>
              <v:textpath style="font-family:&quot;Calibri&quot;;font-size:1pt" string="TEMPLAT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B9AB" w14:textId="77777777" w:rsidR="002B3E64" w:rsidRDefault="002B3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F23"/>
    <w:multiLevelType w:val="hybridMultilevel"/>
    <w:tmpl w:val="0FF486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694E2C"/>
    <w:multiLevelType w:val="hybridMultilevel"/>
    <w:tmpl w:val="F6E2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F0137"/>
    <w:multiLevelType w:val="multilevel"/>
    <w:tmpl w:val="8AE0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40A20"/>
    <w:multiLevelType w:val="hybridMultilevel"/>
    <w:tmpl w:val="50B0F092"/>
    <w:lvl w:ilvl="0" w:tplc="B76297C0">
      <w:start w:val="1"/>
      <w:numFmt w:val="decimal"/>
      <w:lvlText w:val="%1."/>
      <w:lvlJc w:val="left"/>
      <w:pPr>
        <w:ind w:left="720" w:hanging="360"/>
      </w:pPr>
      <w:rPr>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B376855"/>
    <w:multiLevelType w:val="hybridMultilevel"/>
    <w:tmpl w:val="C8FCE0E8"/>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B612759"/>
    <w:multiLevelType w:val="hybridMultilevel"/>
    <w:tmpl w:val="97BCA5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1C4533"/>
    <w:multiLevelType w:val="hybridMultilevel"/>
    <w:tmpl w:val="8CDC51E8"/>
    <w:lvl w:ilvl="0" w:tplc="BF665ED0">
      <w:start w:val="1"/>
      <w:numFmt w:val="decimal"/>
      <w:lvlText w:val="%1."/>
      <w:lvlJc w:val="left"/>
      <w:pPr>
        <w:ind w:left="720" w:hanging="360"/>
      </w:pPr>
      <w:rPr>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0B23381"/>
    <w:multiLevelType w:val="hybridMultilevel"/>
    <w:tmpl w:val="7EB466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15B790E"/>
    <w:multiLevelType w:val="multilevel"/>
    <w:tmpl w:val="3D1E2BB2"/>
    <w:lvl w:ilvl="0">
      <w:start w:val="6"/>
      <w:numFmt w:val="decimal"/>
      <w:lvlText w:val="%1"/>
      <w:lvlJc w:val="left"/>
      <w:pPr>
        <w:ind w:left="360" w:hanging="360"/>
      </w:pPr>
      <w:rPr>
        <w:rFonts w:ascii="Calibri" w:hAnsi="Calibri" w:hint="default"/>
        <w:b/>
        <w:i/>
        <w:sz w:val="22"/>
      </w:rPr>
    </w:lvl>
    <w:lvl w:ilvl="1">
      <w:start w:val="1"/>
      <w:numFmt w:val="decimal"/>
      <w:lvlText w:val="%1.%2"/>
      <w:lvlJc w:val="left"/>
      <w:pPr>
        <w:ind w:left="360" w:hanging="360"/>
      </w:pPr>
      <w:rPr>
        <w:rFonts w:ascii="Calibri" w:hAnsi="Calibri" w:hint="default"/>
        <w:b/>
        <w:i/>
        <w:color w:val="0070C0"/>
        <w:sz w:val="24"/>
        <w:szCs w:val="24"/>
      </w:rPr>
    </w:lvl>
    <w:lvl w:ilvl="2">
      <w:start w:val="1"/>
      <w:numFmt w:val="decimal"/>
      <w:lvlText w:val="%1.%2.%3"/>
      <w:lvlJc w:val="left"/>
      <w:pPr>
        <w:ind w:left="360" w:hanging="360"/>
      </w:pPr>
      <w:rPr>
        <w:rFonts w:ascii="Calibri" w:hAnsi="Calibri" w:hint="default"/>
        <w:b/>
        <w:i/>
        <w:sz w:val="22"/>
      </w:rPr>
    </w:lvl>
    <w:lvl w:ilvl="3">
      <w:start w:val="1"/>
      <w:numFmt w:val="decimal"/>
      <w:lvlText w:val="%1.%2.%3.%4"/>
      <w:lvlJc w:val="left"/>
      <w:pPr>
        <w:ind w:left="720" w:hanging="720"/>
      </w:pPr>
      <w:rPr>
        <w:rFonts w:ascii="Calibri" w:hAnsi="Calibri" w:hint="default"/>
        <w:b/>
        <w:i/>
        <w:sz w:val="22"/>
      </w:rPr>
    </w:lvl>
    <w:lvl w:ilvl="4">
      <w:start w:val="1"/>
      <w:numFmt w:val="decimal"/>
      <w:lvlText w:val="%1.%2.%3.%4.%5"/>
      <w:lvlJc w:val="left"/>
      <w:pPr>
        <w:ind w:left="720" w:hanging="720"/>
      </w:pPr>
      <w:rPr>
        <w:rFonts w:ascii="Calibri" w:hAnsi="Calibri" w:hint="default"/>
        <w:b/>
        <w:i/>
        <w:sz w:val="22"/>
      </w:rPr>
    </w:lvl>
    <w:lvl w:ilvl="5">
      <w:start w:val="1"/>
      <w:numFmt w:val="decimal"/>
      <w:lvlText w:val="%1.%2.%3.%4.%5.%6"/>
      <w:lvlJc w:val="left"/>
      <w:pPr>
        <w:ind w:left="720" w:hanging="720"/>
      </w:pPr>
      <w:rPr>
        <w:rFonts w:ascii="Calibri" w:hAnsi="Calibri" w:hint="default"/>
        <w:b/>
        <w:i/>
        <w:sz w:val="22"/>
      </w:rPr>
    </w:lvl>
    <w:lvl w:ilvl="6">
      <w:start w:val="1"/>
      <w:numFmt w:val="decimal"/>
      <w:lvlText w:val="%1.%2.%3.%4.%5.%6.%7"/>
      <w:lvlJc w:val="left"/>
      <w:pPr>
        <w:ind w:left="720" w:hanging="720"/>
      </w:pPr>
      <w:rPr>
        <w:rFonts w:ascii="Calibri" w:hAnsi="Calibri" w:hint="default"/>
        <w:b/>
        <w:i/>
        <w:sz w:val="22"/>
      </w:rPr>
    </w:lvl>
    <w:lvl w:ilvl="7">
      <w:start w:val="1"/>
      <w:numFmt w:val="decimal"/>
      <w:lvlText w:val="%1.%2.%3.%4.%5.%6.%7.%8"/>
      <w:lvlJc w:val="left"/>
      <w:pPr>
        <w:ind w:left="1080" w:hanging="1080"/>
      </w:pPr>
      <w:rPr>
        <w:rFonts w:ascii="Calibri" w:hAnsi="Calibri" w:hint="default"/>
        <w:b/>
        <w:i/>
        <w:sz w:val="22"/>
      </w:rPr>
    </w:lvl>
    <w:lvl w:ilvl="8">
      <w:start w:val="1"/>
      <w:numFmt w:val="decimal"/>
      <w:lvlText w:val="%1.%2.%3.%4.%5.%6.%7.%8.%9"/>
      <w:lvlJc w:val="left"/>
      <w:pPr>
        <w:ind w:left="1080" w:hanging="1080"/>
      </w:pPr>
      <w:rPr>
        <w:rFonts w:ascii="Calibri" w:hAnsi="Calibri" w:hint="default"/>
        <w:b/>
        <w:i/>
        <w:sz w:val="22"/>
      </w:rPr>
    </w:lvl>
  </w:abstractNum>
  <w:abstractNum w:abstractNumId="9" w15:restartNumberingAfterBreak="0">
    <w:nsid w:val="13ED30FE"/>
    <w:multiLevelType w:val="hybridMultilevel"/>
    <w:tmpl w:val="4FB2BAC6"/>
    <w:lvl w:ilvl="0" w:tplc="DB749074">
      <w:start w:val="1"/>
      <w:numFmt w:val="decimal"/>
      <w:lvlText w:val="%1."/>
      <w:lvlJc w:val="left"/>
      <w:pPr>
        <w:ind w:left="720" w:hanging="360"/>
      </w:pPr>
      <w:rPr>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63344C5"/>
    <w:multiLevelType w:val="hybridMultilevel"/>
    <w:tmpl w:val="F07EAB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7084613"/>
    <w:multiLevelType w:val="hybridMultilevel"/>
    <w:tmpl w:val="F684DC6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8FE00EB"/>
    <w:multiLevelType w:val="hybridMultilevel"/>
    <w:tmpl w:val="C23865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7A039F"/>
    <w:multiLevelType w:val="hybridMultilevel"/>
    <w:tmpl w:val="2BD4F1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C37A25"/>
    <w:multiLevelType w:val="multilevel"/>
    <w:tmpl w:val="702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1A2E89"/>
    <w:multiLevelType w:val="hybridMultilevel"/>
    <w:tmpl w:val="D64002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7855315"/>
    <w:multiLevelType w:val="multilevel"/>
    <w:tmpl w:val="3E06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70DDE"/>
    <w:multiLevelType w:val="hybridMultilevel"/>
    <w:tmpl w:val="76367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2522041"/>
    <w:multiLevelType w:val="hybridMultilevel"/>
    <w:tmpl w:val="3F2AA7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4FC627B"/>
    <w:multiLevelType w:val="hybridMultilevel"/>
    <w:tmpl w:val="928C9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58A2B68"/>
    <w:multiLevelType w:val="hybridMultilevel"/>
    <w:tmpl w:val="4CB4E324"/>
    <w:lvl w:ilvl="0" w:tplc="5ED45E8C">
      <w:start w:val="1"/>
      <w:numFmt w:val="bullet"/>
      <w:lvlText w:val=""/>
      <w:lvlJc w:val="left"/>
      <w:pPr>
        <w:ind w:left="720" w:hanging="360"/>
      </w:pPr>
      <w:rPr>
        <w:rFonts w:ascii="Symbol" w:hAnsi="Symbol" w:hint="default"/>
        <w:color w:val="auto"/>
        <w:sz w:val="24"/>
        <w:szCs w:val="24"/>
      </w:rPr>
    </w:lvl>
    <w:lvl w:ilvl="1" w:tplc="A40A914E">
      <w:start w:val="5"/>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5AD5E88"/>
    <w:multiLevelType w:val="hybridMultilevel"/>
    <w:tmpl w:val="B832F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4F2C28"/>
    <w:multiLevelType w:val="hybridMultilevel"/>
    <w:tmpl w:val="4B625A6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B1600D2"/>
    <w:multiLevelType w:val="hybridMultilevel"/>
    <w:tmpl w:val="36F6E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2E229B6"/>
    <w:multiLevelType w:val="hybridMultilevel"/>
    <w:tmpl w:val="E45ACC52"/>
    <w:lvl w:ilvl="0" w:tplc="5ED45E8C">
      <w:start w:val="1"/>
      <w:numFmt w:val="bullet"/>
      <w:lvlText w:val=""/>
      <w:lvlJc w:val="left"/>
      <w:pPr>
        <w:ind w:left="720" w:hanging="360"/>
      </w:pPr>
      <w:rPr>
        <w:rFonts w:ascii="Symbol" w:hAnsi="Symbol" w:hint="default"/>
        <w:color w:val="auto"/>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648709A"/>
    <w:multiLevelType w:val="hybridMultilevel"/>
    <w:tmpl w:val="3A4A81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DEE69C7"/>
    <w:multiLevelType w:val="hybridMultilevel"/>
    <w:tmpl w:val="ED2669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2F666CB"/>
    <w:multiLevelType w:val="hybridMultilevel"/>
    <w:tmpl w:val="6CB24A10"/>
    <w:lvl w:ilvl="0" w:tplc="B87C0380">
      <w:start w:val="1"/>
      <w:numFmt w:val="decimal"/>
      <w:pStyle w:val="Style1"/>
      <w:lvlText w:val="%1."/>
      <w:lvlJc w:val="left"/>
      <w:pPr>
        <w:tabs>
          <w:tab w:val="num" w:pos="360"/>
        </w:tabs>
        <w:ind w:left="360" w:hanging="360"/>
      </w:pPr>
    </w:lvl>
    <w:lvl w:ilvl="1" w:tplc="62A6F088">
      <w:numFmt w:val="bullet"/>
      <w:lvlText w:val="-"/>
      <w:lvlJc w:val="left"/>
      <w:pPr>
        <w:tabs>
          <w:tab w:val="num" w:pos="1080"/>
        </w:tabs>
        <w:ind w:left="1080" w:hanging="360"/>
      </w:pPr>
      <w:rPr>
        <w:rFonts w:ascii="Arial" w:eastAsia="Times New Roman" w:hAnsi="Arial" w:cs="Arial" w:hint="default"/>
        <w:b/>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8" w15:restartNumberingAfterBreak="0">
    <w:nsid w:val="5A3E5197"/>
    <w:multiLevelType w:val="hybridMultilevel"/>
    <w:tmpl w:val="CF64B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BAD588D"/>
    <w:multiLevelType w:val="hybridMultilevel"/>
    <w:tmpl w:val="CE82D5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2DF3F95"/>
    <w:multiLevelType w:val="hybridMultilevel"/>
    <w:tmpl w:val="C69AB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D36603"/>
    <w:multiLevelType w:val="hybridMultilevel"/>
    <w:tmpl w:val="9E38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57FDF"/>
    <w:multiLevelType w:val="hybridMultilevel"/>
    <w:tmpl w:val="C7FCC5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A796B41"/>
    <w:multiLevelType w:val="hybridMultilevel"/>
    <w:tmpl w:val="35A0A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C1B25B7"/>
    <w:multiLevelType w:val="hybridMultilevel"/>
    <w:tmpl w:val="23BC61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E160710"/>
    <w:multiLevelType w:val="hybridMultilevel"/>
    <w:tmpl w:val="60A291F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F431E09"/>
    <w:multiLevelType w:val="hybridMultilevel"/>
    <w:tmpl w:val="A4A04064"/>
    <w:lvl w:ilvl="0" w:tplc="FF60D426">
      <w:start w:val="5"/>
      <w:numFmt w:val="bullet"/>
      <w:lvlText w:val="-"/>
      <w:lvlJc w:val="left"/>
      <w:pPr>
        <w:ind w:left="1440" w:hanging="360"/>
      </w:pPr>
      <w:rPr>
        <w:rFonts w:ascii="Calibri" w:eastAsiaTheme="minorHAnsi" w:hAnsi="Calibri"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7" w15:restartNumberingAfterBreak="0">
    <w:nsid w:val="72CF45D6"/>
    <w:multiLevelType w:val="hybridMultilevel"/>
    <w:tmpl w:val="D71ABB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86E7224"/>
    <w:multiLevelType w:val="multilevel"/>
    <w:tmpl w:val="44F4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8B690E"/>
    <w:multiLevelType w:val="hybridMultilevel"/>
    <w:tmpl w:val="9230C5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FA76FF8"/>
    <w:multiLevelType w:val="hybridMultilevel"/>
    <w:tmpl w:val="9A624A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13"/>
  </w:num>
  <w:num w:numId="4">
    <w:abstractNumId w:val="33"/>
  </w:num>
  <w:num w:numId="5">
    <w:abstractNumId w:val="24"/>
  </w:num>
  <w:num w:numId="6">
    <w:abstractNumId w:val="28"/>
  </w:num>
  <w:num w:numId="7">
    <w:abstractNumId w:val="19"/>
  </w:num>
  <w:num w:numId="8">
    <w:abstractNumId w:val="32"/>
  </w:num>
  <w:num w:numId="9">
    <w:abstractNumId w:val="8"/>
  </w:num>
  <w:num w:numId="10">
    <w:abstractNumId w:val="18"/>
  </w:num>
  <w:num w:numId="11">
    <w:abstractNumId w:val="6"/>
  </w:num>
  <w:num w:numId="12">
    <w:abstractNumId w:val="9"/>
  </w:num>
  <w:num w:numId="13">
    <w:abstractNumId w:val="3"/>
  </w:num>
  <w:num w:numId="14">
    <w:abstractNumId w:val="34"/>
  </w:num>
  <w:num w:numId="15">
    <w:abstractNumId w:val="5"/>
  </w:num>
  <w:num w:numId="16">
    <w:abstractNumId w:val="25"/>
  </w:num>
  <w:num w:numId="17">
    <w:abstractNumId w:val="40"/>
  </w:num>
  <w:num w:numId="18">
    <w:abstractNumId w:val="20"/>
  </w:num>
  <w:num w:numId="19">
    <w:abstractNumId w:val="36"/>
  </w:num>
  <w:num w:numId="20">
    <w:abstractNumId w:val="27"/>
    <w:lvlOverride w:ilvl="0">
      <w:startOverride w:val="1"/>
    </w:lvlOverride>
  </w:num>
  <w:num w:numId="21">
    <w:abstractNumId w:val="12"/>
  </w:num>
  <w:num w:numId="22">
    <w:abstractNumId w:val="0"/>
  </w:num>
  <w:num w:numId="23">
    <w:abstractNumId w:val="17"/>
  </w:num>
  <w:num w:numId="24">
    <w:abstractNumId w:val="16"/>
  </w:num>
  <w:num w:numId="25">
    <w:abstractNumId w:val="14"/>
  </w:num>
  <w:num w:numId="26">
    <w:abstractNumId w:val="23"/>
  </w:num>
  <w:num w:numId="27">
    <w:abstractNumId w:val="38"/>
  </w:num>
  <w:num w:numId="28">
    <w:abstractNumId w:val="2"/>
  </w:num>
  <w:num w:numId="29">
    <w:abstractNumId w:val="4"/>
  </w:num>
  <w:num w:numId="30">
    <w:abstractNumId w:val="11"/>
  </w:num>
  <w:num w:numId="31">
    <w:abstractNumId w:val="35"/>
  </w:num>
  <w:num w:numId="32">
    <w:abstractNumId w:val="37"/>
  </w:num>
  <w:num w:numId="33">
    <w:abstractNumId w:val="22"/>
  </w:num>
  <w:num w:numId="34">
    <w:abstractNumId w:val="10"/>
  </w:num>
  <w:num w:numId="35">
    <w:abstractNumId w:val="15"/>
  </w:num>
  <w:num w:numId="36">
    <w:abstractNumId w:val="7"/>
  </w:num>
  <w:num w:numId="37">
    <w:abstractNumId w:val="29"/>
  </w:num>
  <w:num w:numId="38">
    <w:abstractNumId w:val="26"/>
  </w:num>
  <w:num w:numId="39">
    <w:abstractNumId w:val="39"/>
  </w:num>
  <w:num w:numId="40">
    <w:abstractNumId w:val="1"/>
  </w:num>
  <w:num w:numId="41">
    <w:abstractNumId w:val="3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C3"/>
    <w:rsid w:val="000659E9"/>
    <w:rsid w:val="0007357A"/>
    <w:rsid w:val="000C5AA6"/>
    <w:rsid w:val="000E58F0"/>
    <w:rsid w:val="00112F05"/>
    <w:rsid w:val="0017325D"/>
    <w:rsid w:val="00174149"/>
    <w:rsid w:val="001C6A74"/>
    <w:rsid w:val="001F0130"/>
    <w:rsid w:val="00200E8F"/>
    <w:rsid w:val="00205163"/>
    <w:rsid w:val="002432C0"/>
    <w:rsid w:val="00267A5B"/>
    <w:rsid w:val="0029277E"/>
    <w:rsid w:val="002A4B53"/>
    <w:rsid w:val="002B3E64"/>
    <w:rsid w:val="002B53B2"/>
    <w:rsid w:val="002E70F4"/>
    <w:rsid w:val="002F77EE"/>
    <w:rsid w:val="0030097A"/>
    <w:rsid w:val="00314B42"/>
    <w:rsid w:val="00320AA2"/>
    <w:rsid w:val="00333220"/>
    <w:rsid w:val="0033385C"/>
    <w:rsid w:val="00336C4F"/>
    <w:rsid w:val="00364D0E"/>
    <w:rsid w:val="00382BFE"/>
    <w:rsid w:val="00390B26"/>
    <w:rsid w:val="00392CED"/>
    <w:rsid w:val="003A032F"/>
    <w:rsid w:val="003B2D41"/>
    <w:rsid w:val="003C67B8"/>
    <w:rsid w:val="003D6032"/>
    <w:rsid w:val="003D6334"/>
    <w:rsid w:val="004115FA"/>
    <w:rsid w:val="004150AD"/>
    <w:rsid w:val="004163A4"/>
    <w:rsid w:val="00421E36"/>
    <w:rsid w:val="0044082C"/>
    <w:rsid w:val="00463706"/>
    <w:rsid w:val="004E75F5"/>
    <w:rsid w:val="004F3265"/>
    <w:rsid w:val="004F5ED7"/>
    <w:rsid w:val="004F7C77"/>
    <w:rsid w:val="00501303"/>
    <w:rsid w:val="00541A32"/>
    <w:rsid w:val="00562EA1"/>
    <w:rsid w:val="00567083"/>
    <w:rsid w:val="00592B2C"/>
    <w:rsid w:val="00596B54"/>
    <w:rsid w:val="005A7D63"/>
    <w:rsid w:val="005D2C3A"/>
    <w:rsid w:val="005E6478"/>
    <w:rsid w:val="00615935"/>
    <w:rsid w:val="00621FB0"/>
    <w:rsid w:val="0062601E"/>
    <w:rsid w:val="0065197C"/>
    <w:rsid w:val="006A7F55"/>
    <w:rsid w:val="006E03C9"/>
    <w:rsid w:val="007012D8"/>
    <w:rsid w:val="0070458B"/>
    <w:rsid w:val="0075648A"/>
    <w:rsid w:val="00763F47"/>
    <w:rsid w:val="00782221"/>
    <w:rsid w:val="007B4FF5"/>
    <w:rsid w:val="007E67DD"/>
    <w:rsid w:val="007F2CA2"/>
    <w:rsid w:val="007F3E2A"/>
    <w:rsid w:val="00800A2D"/>
    <w:rsid w:val="00826913"/>
    <w:rsid w:val="008566A1"/>
    <w:rsid w:val="0086144B"/>
    <w:rsid w:val="008709C5"/>
    <w:rsid w:val="008936CA"/>
    <w:rsid w:val="008A2C24"/>
    <w:rsid w:val="008A6094"/>
    <w:rsid w:val="008B217C"/>
    <w:rsid w:val="008B5C27"/>
    <w:rsid w:val="008C7B87"/>
    <w:rsid w:val="008D58C6"/>
    <w:rsid w:val="008E0770"/>
    <w:rsid w:val="009125CD"/>
    <w:rsid w:val="00920021"/>
    <w:rsid w:val="009349BA"/>
    <w:rsid w:val="00941D81"/>
    <w:rsid w:val="00941F24"/>
    <w:rsid w:val="0094609C"/>
    <w:rsid w:val="00957C23"/>
    <w:rsid w:val="00997E36"/>
    <w:rsid w:val="009A276F"/>
    <w:rsid w:val="009C4054"/>
    <w:rsid w:val="009D40EC"/>
    <w:rsid w:val="009E0130"/>
    <w:rsid w:val="00A050FF"/>
    <w:rsid w:val="00A26D25"/>
    <w:rsid w:val="00A43059"/>
    <w:rsid w:val="00A84EA2"/>
    <w:rsid w:val="00A910DD"/>
    <w:rsid w:val="00AC2899"/>
    <w:rsid w:val="00AC6D5B"/>
    <w:rsid w:val="00B2266C"/>
    <w:rsid w:val="00B66C7F"/>
    <w:rsid w:val="00B70C45"/>
    <w:rsid w:val="00B719B4"/>
    <w:rsid w:val="00B71FC7"/>
    <w:rsid w:val="00BA6068"/>
    <w:rsid w:val="00BF6969"/>
    <w:rsid w:val="00C068F2"/>
    <w:rsid w:val="00C2683A"/>
    <w:rsid w:val="00CA4B0F"/>
    <w:rsid w:val="00CF7880"/>
    <w:rsid w:val="00D050E2"/>
    <w:rsid w:val="00D13CA6"/>
    <w:rsid w:val="00D17009"/>
    <w:rsid w:val="00D3472D"/>
    <w:rsid w:val="00D50800"/>
    <w:rsid w:val="00D866C3"/>
    <w:rsid w:val="00E03772"/>
    <w:rsid w:val="00E16E79"/>
    <w:rsid w:val="00E3624B"/>
    <w:rsid w:val="00E45422"/>
    <w:rsid w:val="00E50CF6"/>
    <w:rsid w:val="00E6412A"/>
    <w:rsid w:val="00E64F0B"/>
    <w:rsid w:val="00E72D89"/>
    <w:rsid w:val="00E807A2"/>
    <w:rsid w:val="00E94362"/>
    <w:rsid w:val="00EC4245"/>
    <w:rsid w:val="00F075F7"/>
    <w:rsid w:val="00F40880"/>
    <w:rsid w:val="00F47434"/>
    <w:rsid w:val="00F678C6"/>
    <w:rsid w:val="00F74ED4"/>
    <w:rsid w:val="00F83D9D"/>
    <w:rsid w:val="00F927CD"/>
    <w:rsid w:val="00FB56D9"/>
    <w:rsid w:val="00FB6B1E"/>
    <w:rsid w:val="00FC4269"/>
    <w:rsid w:val="101C0D21"/>
    <w:rsid w:val="2FA62149"/>
    <w:rsid w:val="5D31EB1F"/>
    <w:rsid w:val="668ED09F"/>
    <w:rsid w:val="7905AE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987CCE"/>
  <w15:chartTrackingRefBased/>
  <w15:docId w15:val="{57C0EBC7-DD39-44E3-BE35-06E9A394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6C4F"/>
    <w:pPr>
      <w:spacing w:after="200" w:line="276" w:lineRule="auto"/>
    </w:pPr>
    <w:rPr>
      <w:lang w:val="en-AU"/>
    </w:rPr>
  </w:style>
  <w:style w:type="paragraph" w:styleId="Heading1">
    <w:name w:val="heading 1"/>
    <w:basedOn w:val="Normal"/>
    <w:next w:val="Normal"/>
    <w:link w:val="Heading1Char"/>
    <w:qFormat/>
    <w:rsid w:val="00D866C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997E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36C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6C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6C3"/>
    <w:rPr>
      <w:rFonts w:ascii="Arial" w:eastAsia="Times New Roman" w:hAnsi="Arial" w:cs="Arial"/>
      <w:b/>
      <w:bCs/>
      <w:kern w:val="32"/>
      <w:sz w:val="32"/>
      <w:szCs w:val="32"/>
      <w:lang w:val="en-AU"/>
    </w:rPr>
  </w:style>
  <w:style w:type="table" w:styleId="TableGrid">
    <w:name w:val="Table Grid"/>
    <w:basedOn w:val="TableNormal"/>
    <w:rsid w:val="00D866C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6C3"/>
    <w:pPr>
      <w:ind w:left="720"/>
      <w:contextualSpacing/>
    </w:pPr>
  </w:style>
  <w:style w:type="paragraph" w:customStyle="1" w:styleId="Style1">
    <w:name w:val="Style1"/>
    <w:basedOn w:val="Normal"/>
    <w:qFormat/>
    <w:rsid w:val="00D866C3"/>
    <w:pPr>
      <w:numPr>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D9610"/>
      <w:autoSpaceDE w:val="0"/>
      <w:autoSpaceDN w:val="0"/>
      <w:adjustRightInd w:val="0"/>
      <w:spacing w:before="240" w:after="0" w:line="240" w:lineRule="auto"/>
    </w:pPr>
    <w:rPr>
      <w:rFonts w:cstheme="minorHAnsi"/>
      <w:b/>
      <w:bCs/>
      <w:sz w:val="28"/>
      <w:szCs w:val="28"/>
      <w:lang w:eastAsia="en-AU"/>
    </w:rPr>
  </w:style>
  <w:style w:type="paragraph" w:customStyle="1" w:styleId="Style3">
    <w:name w:val="Style3"/>
    <w:basedOn w:val="Style1"/>
    <w:qFormat/>
    <w:rsid w:val="00D866C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798D37"/>
    </w:pPr>
    <w:rPr>
      <w:color w:val="FFFFFF" w:themeColor="background1"/>
    </w:rPr>
  </w:style>
  <w:style w:type="paragraph" w:customStyle="1" w:styleId="Default">
    <w:name w:val="Default"/>
    <w:rsid w:val="00D866C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866C3"/>
    <w:rPr>
      <w:color w:val="0563C1" w:themeColor="hyperlink"/>
      <w:u w:val="single"/>
    </w:rPr>
  </w:style>
  <w:style w:type="paragraph" w:customStyle="1" w:styleId="paragraph">
    <w:name w:val="paragraph"/>
    <w:basedOn w:val="Normal"/>
    <w:rsid w:val="00D866C3"/>
    <w:pPr>
      <w:spacing w:after="0" w:line="240" w:lineRule="auto"/>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D866C3"/>
  </w:style>
  <w:style w:type="character" w:customStyle="1" w:styleId="eop">
    <w:name w:val="eop"/>
    <w:basedOn w:val="DefaultParagraphFont"/>
    <w:rsid w:val="00D866C3"/>
  </w:style>
  <w:style w:type="character" w:customStyle="1" w:styleId="spellingerror">
    <w:name w:val="spellingerror"/>
    <w:basedOn w:val="DefaultParagraphFont"/>
    <w:rsid w:val="00E45422"/>
  </w:style>
  <w:style w:type="paragraph" w:styleId="FootnoteText">
    <w:name w:val="footnote text"/>
    <w:basedOn w:val="Normal"/>
    <w:link w:val="FootnoteTextChar"/>
    <w:uiPriority w:val="99"/>
    <w:semiHidden/>
    <w:unhideWhenUsed/>
    <w:rsid w:val="008B217C"/>
    <w:pPr>
      <w:spacing w:after="0" w:line="240" w:lineRule="auto"/>
    </w:pPr>
    <w:rPr>
      <w:rFonts w:eastAsiaTheme="minorEastAsia" w:cs="Times New Roman"/>
      <w:sz w:val="20"/>
      <w:szCs w:val="20"/>
      <w:lang w:val="en-US" w:bidi="en-US"/>
    </w:rPr>
  </w:style>
  <w:style w:type="character" w:customStyle="1" w:styleId="FootnoteTextChar">
    <w:name w:val="Footnote Text Char"/>
    <w:basedOn w:val="DefaultParagraphFont"/>
    <w:link w:val="FootnoteText"/>
    <w:uiPriority w:val="99"/>
    <w:semiHidden/>
    <w:rsid w:val="008B217C"/>
    <w:rPr>
      <w:rFonts w:eastAsiaTheme="minorEastAsia" w:cs="Times New Roman"/>
      <w:sz w:val="20"/>
      <w:szCs w:val="20"/>
      <w:lang w:val="en-US" w:bidi="en-US"/>
    </w:rPr>
  </w:style>
  <w:style w:type="character" w:styleId="FootnoteReference">
    <w:name w:val="footnote reference"/>
    <w:basedOn w:val="DefaultParagraphFont"/>
    <w:uiPriority w:val="99"/>
    <w:semiHidden/>
    <w:unhideWhenUsed/>
    <w:rsid w:val="008B217C"/>
    <w:rPr>
      <w:vertAlign w:val="superscript"/>
    </w:rPr>
  </w:style>
  <w:style w:type="paragraph" w:styleId="Quote">
    <w:name w:val="Quote"/>
    <w:basedOn w:val="Normal"/>
    <w:next w:val="Normal"/>
    <w:link w:val="QuoteChar"/>
    <w:uiPriority w:val="29"/>
    <w:qFormat/>
    <w:rsid w:val="004F5E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5ED7"/>
    <w:rPr>
      <w:i/>
      <w:iCs/>
      <w:color w:val="404040" w:themeColor="text1" w:themeTint="BF"/>
      <w:lang w:val="en-AU"/>
    </w:rPr>
  </w:style>
  <w:style w:type="paragraph" w:customStyle="1" w:styleId="paragraph1">
    <w:name w:val="paragraph1"/>
    <w:basedOn w:val="Normal"/>
    <w:rsid w:val="00562EA1"/>
    <w:pPr>
      <w:spacing w:after="0" w:line="240" w:lineRule="auto"/>
    </w:pPr>
    <w:rPr>
      <w:rFonts w:ascii="Times New Roman" w:eastAsia="Times New Roman" w:hAnsi="Times New Roman" w:cs="Times New Roman"/>
      <w:sz w:val="24"/>
      <w:szCs w:val="24"/>
      <w:lang w:val="en-NZ" w:eastAsia="en-NZ"/>
    </w:rPr>
  </w:style>
  <w:style w:type="character" w:styleId="FollowedHyperlink">
    <w:name w:val="FollowedHyperlink"/>
    <w:basedOn w:val="DefaultParagraphFont"/>
    <w:uiPriority w:val="99"/>
    <w:semiHidden/>
    <w:unhideWhenUsed/>
    <w:rsid w:val="0065197C"/>
    <w:rPr>
      <w:color w:val="954F72" w:themeColor="followedHyperlink"/>
      <w:u w:val="single"/>
    </w:rPr>
  </w:style>
  <w:style w:type="paragraph" w:styleId="Header">
    <w:name w:val="header"/>
    <w:basedOn w:val="Normal"/>
    <w:link w:val="HeaderChar"/>
    <w:uiPriority w:val="99"/>
    <w:unhideWhenUsed/>
    <w:rsid w:val="002B3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E64"/>
    <w:rPr>
      <w:lang w:val="en-AU"/>
    </w:rPr>
  </w:style>
  <w:style w:type="paragraph" w:styleId="Footer">
    <w:name w:val="footer"/>
    <w:basedOn w:val="Normal"/>
    <w:link w:val="FooterChar"/>
    <w:uiPriority w:val="99"/>
    <w:unhideWhenUsed/>
    <w:rsid w:val="002B3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E64"/>
    <w:rPr>
      <w:lang w:val="en-AU"/>
    </w:rPr>
  </w:style>
  <w:style w:type="paragraph" w:styleId="NormalWeb">
    <w:name w:val="Normal (Web)"/>
    <w:basedOn w:val="Normal"/>
    <w:uiPriority w:val="99"/>
    <w:semiHidden/>
    <w:unhideWhenUsed/>
    <w:rsid w:val="00382BFE"/>
    <w:rPr>
      <w:rFonts w:ascii="Times New Roman" w:hAnsi="Times New Roman" w:cs="Times New Roman"/>
      <w:sz w:val="24"/>
      <w:szCs w:val="24"/>
    </w:rPr>
  </w:style>
  <w:style w:type="character" w:customStyle="1" w:styleId="Heading2Char">
    <w:name w:val="Heading 2 Char"/>
    <w:basedOn w:val="DefaultParagraphFont"/>
    <w:link w:val="Heading2"/>
    <w:uiPriority w:val="9"/>
    <w:rsid w:val="00997E36"/>
    <w:rPr>
      <w:rFonts w:asciiTheme="majorHAnsi" w:eastAsiaTheme="majorEastAsia" w:hAnsiTheme="majorHAnsi" w:cstheme="majorBidi"/>
      <w:color w:val="2E74B5" w:themeColor="accent1" w:themeShade="BF"/>
      <w:sz w:val="26"/>
      <w:szCs w:val="26"/>
      <w:lang w:val="en-AU"/>
    </w:rPr>
  </w:style>
  <w:style w:type="character" w:customStyle="1" w:styleId="Heading3Char">
    <w:name w:val="Heading 3 Char"/>
    <w:basedOn w:val="DefaultParagraphFont"/>
    <w:link w:val="Heading3"/>
    <w:uiPriority w:val="9"/>
    <w:rsid w:val="00336C4F"/>
    <w:rPr>
      <w:rFonts w:asciiTheme="majorHAnsi" w:eastAsiaTheme="majorEastAsia" w:hAnsiTheme="majorHAnsi" w:cstheme="majorBidi"/>
      <w:color w:val="1F4D78" w:themeColor="accent1" w:themeShade="7F"/>
      <w:sz w:val="24"/>
      <w:szCs w:val="24"/>
      <w:lang w:val="en-AU"/>
    </w:rPr>
  </w:style>
  <w:style w:type="character" w:customStyle="1" w:styleId="Heading4Char">
    <w:name w:val="Heading 4 Char"/>
    <w:basedOn w:val="DefaultParagraphFont"/>
    <w:link w:val="Heading4"/>
    <w:uiPriority w:val="9"/>
    <w:rsid w:val="00336C4F"/>
    <w:rPr>
      <w:rFonts w:asciiTheme="majorHAnsi" w:eastAsiaTheme="majorEastAsia" w:hAnsiTheme="majorHAnsi" w:cstheme="majorBidi"/>
      <w:i/>
      <w:iCs/>
      <w:color w:val="2E74B5" w:themeColor="accent1" w:themeShade="BF"/>
      <w:lang w:val="en-AU"/>
    </w:rPr>
  </w:style>
  <w:style w:type="paragraph" w:styleId="BalloonText">
    <w:name w:val="Balloon Text"/>
    <w:basedOn w:val="Normal"/>
    <w:link w:val="BalloonTextChar"/>
    <w:uiPriority w:val="99"/>
    <w:semiHidden/>
    <w:unhideWhenUsed/>
    <w:rsid w:val="000C5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AA6"/>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01433">
      <w:bodyDiv w:val="1"/>
      <w:marLeft w:val="0"/>
      <w:marRight w:val="0"/>
      <w:marTop w:val="0"/>
      <w:marBottom w:val="0"/>
      <w:divBdr>
        <w:top w:val="none" w:sz="0" w:space="0" w:color="auto"/>
        <w:left w:val="none" w:sz="0" w:space="0" w:color="auto"/>
        <w:bottom w:val="none" w:sz="0" w:space="0" w:color="auto"/>
        <w:right w:val="none" w:sz="0" w:space="0" w:color="auto"/>
      </w:divBdr>
    </w:div>
    <w:div w:id="548959240">
      <w:bodyDiv w:val="1"/>
      <w:marLeft w:val="0"/>
      <w:marRight w:val="0"/>
      <w:marTop w:val="0"/>
      <w:marBottom w:val="0"/>
      <w:divBdr>
        <w:top w:val="none" w:sz="0" w:space="0" w:color="auto"/>
        <w:left w:val="none" w:sz="0" w:space="0" w:color="auto"/>
        <w:bottom w:val="none" w:sz="0" w:space="0" w:color="auto"/>
        <w:right w:val="none" w:sz="0" w:space="0" w:color="auto"/>
      </w:divBdr>
    </w:div>
    <w:div w:id="994533578">
      <w:bodyDiv w:val="1"/>
      <w:marLeft w:val="0"/>
      <w:marRight w:val="0"/>
      <w:marTop w:val="0"/>
      <w:marBottom w:val="0"/>
      <w:divBdr>
        <w:top w:val="none" w:sz="0" w:space="0" w:color="auto"/>
        <w:left w:val="none" w:sz="0" w:space="0" w:color="auto"/>
        <w:bottom w:val="none" w:sz="0" w:space="0" w:color="auto"/>
        <w:right w:val="none" w:sz="0" w:space="0" w:color="auto"/>
      </w:divBdr>
    </w:div>
    <w:div w:id="1104300223">
      <w:bodyDiv w:val="1"/>
      <w:marLeft w:val="0"/>
      <w:marRight w:val="0"/>
      <w:marTop w:val="0"/>
      <w:marBottom w:val="0"/>
      <w:divBdr>
        <w:top w:val="none" w:sz="0" w:space="0" w:color="auto"/>
        <w:left w:val="none" w:sz="0" w:space="0" w:color="auto"/>
        <w:bottom w:val="none" w:sz="0" w:space="0" w:color="auto"/>
        <w:right w:val="none" w:sz="0" w:space="0" w:color="auto"/>
      </w:divBdr>
    </w:div>
    <w:div w:id="1197963257">
      <w:bodyDiv w:val="1"/>
      <w:marLeft w:val="0"/>
      <w:marRight w:val="0"/>
      <w:marTop w:val="0"/>
      <w:marBottom w:val="0"/>
      <w:divBdr>
        <w:top w:val="none" w:sz="0" w:space="0" w:color="auto"/>
        <w:left w:val="none" w:sz="0" w:space="0" w:color="auto"/>
        <w:bottom w:val="none" w:sz="0" w:space="0" w:color="auto"/>
        <w:right w:val="none" w:sz="0" w:space="0" w:color="auto"/>
      </w:divBdr>
    </w:div>
    <w:div w:id="1275748631">
      <w:bodyDiv w:val="1"/>
      <w:marLeft w:val="0"/>
      <w:marRight w:val="0"/>
      <w:marTop w:val="0"/>
      <w:marBottom w:val="0"/>
      <w:divBdr>
        <w:top w:val="none" w:sz="0" w:space="0" w:color="auto"/>
        <w:left w:val="none" w:sz="0" w:space="0" w:color="auto"/>
        <w:bottom w:val="none" w:sz="0" w:space="0" w:color="auto"/>
        <w:right w:val="none" w:sz="0" w:space="0" w:color="auto"/>
      </w:divBdr>
    </w:div>
    <w:div w:id="1286278638">
      <w:bodyDiv w:val="1"/>
      <w:marLeft w:val="0"/>
      <w:marRight w:val="0"/>
      <w:marTop w:val="0"/>
      <w:marBottom w:val="0"/>
      <w:divBdr>
        <w:top w:val="none" w:sz="0" w:space="0" w:color="auto"/>
        <w:left w:val="none" w:sz="0" w:space="0" w:color="auto"/>
        <w:bottom w:val="none" w:sz="0" w:space="0" w:color="auto"/>
        <w:right w:val="none" w:sz="0" w:space="0" w:color="auto"/>
      </w:divBdr>
    </w:div>
    <w:div w:id="1380326495">
      <w:bodyDiv w:val="1"/>
      <w:marLeft w:val="0"/>
      <w:marRight w:val="0"/>
      <w:marTop w:val="0"/>
      <w:marBottom w:val="0"/>
      <w:divBdr>
        <w:top w:val="none" w:sz="0" w:space="0" w:color="auto"/>
        <w:left w:val="none" w:sz="0" w:space="0" w:color="auto"/>
        <w:bottom w:val="none" w:sz="0" w:space="0" w:color="auto"/>
        <w:right w:val="none" w:sz="0" w:space="0" w:color="auto"/>
      </w:divBdr>
    </w:div>
    <w:div w:id="1529100993">
      <w:bodyDiv w:val="1"/>
      <w:marLeft w:val="0"/>
      <w:marRight w:val="0"/>
      <w:marTop w:val="0"/>
      <w:marBottom w:val="0"/>
      <w:divBdr>
        <w:top w:val="none" w:sz="0" w:space="0" w:color="auto"/>
        <w:left w:val="none" w:sz="0" w:space="0" w:color="auto"/>
        <w:bottom w:val="none" w:sz="0" w:space="0" w:color="auto"/>
        <w:right w:val="none" w:sz="0" w:space="0" w:color="auto"/>
      </w:divBdr>
    </w:div>
    <w:div w:id="1540557259">
      <w:bodyDiv w:val="1"/>
      <w:marLeft w:val="0"/>
      <w:marRight w:val="0"/>
      <w:marTop w:val="0"/>
      <w:marBottom w:val="0"/>
      <w:divBdr>
        <w:top w:val="none" w:sz="0" w:space="0" w:color="auto"/>
        <w:left w:val="none" w:sz="0" w:space="0" w:color="auto"/>
        <w:bottom w:val="none" w:sz="0" w:space="0" w:color="auto"/>
        <w:right w:val="none" w:sz="0" w:space="0" w:color="auto"/>
      </w:divBdr>
    </w:div>
    <w:div w:id="1804033316">
      <w:bodyDiv w:val="1"/>
      <w:marLeft w:val="0"/>
      <w:marRight w:val="0"/>
      <w:marTop w:val="0"/>
      <w:marBottom w:val="0"/>
      <w:divBdr>
        <w:top w:val="none" w:sz="0" w:space="0" w:color="auto"/>
        <w:left w:val="none" w:sz="0" w:space="0" w:color="auto"/>
        <w:bottom w:val="none" w:sz="0" w:space="0" w:color="auto"/>
        <w:right w:val="none" w:sz="0" w:space="0" w:color="auto"/>
      </w:divBdr>
    </w:div>
    <w:div w:id="2089837144">
      <w:bodyDiv w:val="1"/>
      <w:marLeft w:val="0"/>
      <w:marRight w:val="0"/>
      <w:marTop w:val="0"/>
      <w:marBottom w:val="0"/>
      <w:divBdr>
        <w:top w:val="none" w:sz="0" w:space="0" w:color="auto"/>
        <w:left w:val="none" w:sz="0" w:space="0" w:color="auto"/>
        <w:bottom w:val="none" w:sz="0" w:space="0" w:color="auto"/>
        <w:right w:val="none" w:sz="0" w:space="0" w:color="auto"/>
      </w:divBdr>
    </w:div>
    <w:div w:id="210718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D779F835037E47B84466625A87CCCD" ma:contentTypeVersion="10" ma:contentTypeDescription="Create a new document." ma:contentTypeScope="" ma:versionID="55e623109a57a8e24ee01120874241ad">
  <xsd:schema xmlns:xsd="http://www.w3.org/2001/XMLSchema" xmlns:xs="http://www.w3.org/2001/XMLSchema" xmlns:p="http://schemas.microsoft.com/office/2006/metadata/properties" xmlns:ns2="9491eabc-1675-431e-8468-36c0a4f15517" xmlns:ns3="d2c898a5-5572-438b-a976-5032225a77fc" targetNamespace="http://schemas.microsoft.com/office/2006/metadata/properties" ma:root="true" ma:fieldsID="9882a57d91074de3ff7ce48e86bcec83" ns2:_="" ns3:_="">
    <xsd:import namespace="9491eabc-1675-431e-8468-36c0a4f15517"/>
    <xsd:import namespace="d2c898a5-5572-438b-a976-5032225a77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1eabc-1675-431e-8468-36c0a4f15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898a5-5572-438b-a976-5032225a77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6BA19-33C0-4337-83BF-8A6BF48C97D5}">
  <ds:schemaRefs>
    <ds:schemaRef ds:uri="http://schemas.microsoft.com/sharepoint/v3/contenttype/forms"/>
  </ds:schemaRefs>
</ds:datastoreItem>
</file>

<file path=customXml/itemProps2.xml><?xml version="1.0" encoding="utf-8"?>
<ds:datastoreItem xmlns:ds="http://schemas.openxmlformats.org/officeDocument/2006/customXml" ds:itemID="{1156481A-B61C-4918-8FDA-8BCB0EA2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1eabc-1675-431e-8468-36c0a4f15517"/>
    <ds:schemaRef ds:uri="d2c898a5-5572-438b-a976-5032225a7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F421C-8DF5-40B6-9996-2D4BEF0C16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ECD88B-9ED6-4AFB-852B-0660E2A9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1029</Words>
  <Characters>5867</Characters>
  <Application>Microsoft Office Word</Application>
  <DocSecurity>0</DocSecurity>
  <Lines>48</Lines>
  <Paragraphs>13</Paragraphs>
  <ScaleCrop>false</ScaleCrop>
  <Company>Owner</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Research2</dc:creator>
  <cp:keywords/>
  <dc:description/>
  <cp:lastModifiedBy>Gaia Maridati</cp:lastModifiedBy>
  <cp:revision>112</cp:revision>
  <cp:lastPrinted>2018-06-11T02:45:00Z</cp:lastPrinted>
  <dcterms:created xsi:type="dcterms:W3CDTF">2019-08-05T00:26:00Z</dcterms:created>
  <dcterms:modified xsi:type="dcterms:W3CDTF">2019-09-24T23:42:00Z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0x010100EAD779F835037E47B84466625A87CCCD</vt:lpwstr>
  </property>
</Properties>
</file>